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FD55A12" w14:textId="77777777" w:rsidR="007D5E9A" w:rsidRPr="0070436D" w:rsidRDefault="00000000">
      <w:pPr>
        <w:spacing w:line="24" w:lineRule="atLeast"/>
        <w:rPr>
          <w:rFonts w:ascii="Times New Roman" w:eastAsia="宋体" w:hAnsi="Times New Roman" w:cs="Times New Roman"/>
          <w:color w:val="FF0000"/>
          <w:szCs w:val="21"/>
        </w:rPr>
      </w:pPr>
      <w:r w:rsidRPr="0070436D">
        <w:rPr>
          <w:rFonts w:ascii="Times New Roman" w:eastAsia="宋体" w:hAnsi="Times New Roman" w:cs="Times New Roman" w:hint="eastAsia"/>
          <w:b/>
          <w:bCs/>
          <w:color w:val="FF0000"/>
          <w:szCs w:val="21"/>
        </w:rPr>
        <w:t>Supplementary Table 1</w:t>
      </w:r>
      <w:r w:rsidRPr="0070436D">
        <w:rPr>
          <w:rFonts w:ascii="Times New Roman" w:eastAsia="宋体" w:hAnsi="Times New Roman" w:cs="Times New Roman"/>
          <w:b/>
          <w:bCs/>
          <w:color w:val="FF0000"/>
          <w:szCs w:val="21"/>
        </w:rPr>
        <w:t>.</w:t>
      </w:r>
      <w:r w:rsidRPr="0070436D">
        <w:rPr>
          <w:rFonts w:ascii="Times New Roman" w:eastAsia="宋体" w:hAnsi="Times New Roman" w:cs="Times New Roman"/>
          <w:color w:val="FF0000"/>
          <w:szCs w:val="21"/>
        </w:rPr>
        <w:t xml:space="preserve"> </w:t>
      </w:r>
      <w:r w:rsidRPr="0070436D">
        <w:rPr>
          <w:rFonts w:ascii="Times New Roman" w:eastAsia="宋体" w:hAnsi="Times New Roman" w:cs="Times New Roman" w:hint="eastAsia"/>
          <w:color w:val="FF0000"/>
          <w:szCs w:val="21"/>
        </w:rPr>
        <w:t>The formula for CDAI calculation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837"/>
        <w:gridCol w:w="4899"/>
      </w:tblGrid>
      <w:tr w:rsidR="007D5E9A" w14:paraId="1B82C5BF" w14:textId="77777777">
        <w:tc>
          <w:tcPr>
            <w:tcW w:w="4981" w:type="dxa"/>
          </w:tcPr>
          <w:p w14:paraId="16ED498C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Index</w:t>
            </w:r>
          </w:p>
        </w:tc>
        <w:tc>
          <w:tcPr>
            <w:tcW w:w="4981" w:type="dxa"/>
          </w:tcPr>
          <w:p w14:paraId="282B2DA4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Formula</w:t>
            </w:r>
          </w:p>
        </w:tc>
      </w:tr>
      <w:tr w:rsidR="007D5E9A" w14:paraId="5EB85847" w14:textId="77777777">
        <w:tc>
          <w:tcPr>
            <w:tcW w:w="4981" w:type="dxa"/>
          </w:tcPr>
          <w:p w14:paraId="02E8E9B6" w14:textId="77777777" w:rsidR="007D5E9A" w:rsidRDefault="007D5E9A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szCs w:val="21"/>
              </w:rPr>
            </w:pPr>
          </w:p>
          <w:p w14:paraId="3C5A9CDF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CDAI</w:t>
            </w:r>
          </w:p>
        </w:tc>
        <w:tc>
          <w:tcPr>
            <w:tcW w:w="4981" w:type="dxa"/>
          </w:tcPr>
          <w:p w14:paraId="7B40E1DD" w14:textId="77777777" w:rsidR="007D5E9A" w:rsidRDefault="00000000">
            <w:pPr>
              <w:spacing w:line="24" w:lineRule="atLeast"/>
              <w:jc w:val="center"/>
              <w:rPr>
                <w:rFonts w:hAnsi="Cambria Math" w:cs="Times New Roman"/>
                <w:szCs w:val="21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  <w:szCs w:val="21"/>
                  </w:rPr>
                  <m:t>CDAI=</m:t>
                </m:r>
                <m:nary>
                  <m:naryPr>
                    <m:chr m:val="∑"/>
                    <m:limLoc m:val="subSup"/>
                    <m:ctrlPr>
                      <w:rPr>
                        <w:rFonts w:ascii="Cambria Math" w:hAnsi="Cambria Math" w:cs="Times New Roman"/>
                        <w:szCs w:val="21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Cs w:val="21"/>
                      </w:rPr>
                      <m:t>i=1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Cs w:val="21"/>
                      </w:rPr>
                      <m:t>n=6</m:t>
                    </m:r>
                  </m:sup>
                  <m:e>
                    <m:box>
                      <m:boxPr>
                        <m:ctrlPr>
                          <w:rPr>
                            <w:rFonts w:ascii="Cambria Math" w:hAnsi="Cambria Math" w:cs="Times New Roman"/>
                            <w:szCs w:val="21"/>
                          </w:rPr>
                        </m:ctrlPr>
                      </m:boxPr>
                      <m:e>
                        <m:argPr>
                          <m:argSz m:val="-1"/>
                        </m:argPr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szCs w:val="21"/>
                              </w:rPr>
                            </m:ctrlPr>
                          </m:fPr>
                          <m:num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Cs w:val="21"/>
                              </w:rPr>
                              <m:t>Individual Intake-Mean</m:t>
                            </m:r>
                          </m:num>
                          <m:den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  <w:szCs w:val="21"/>
                              </w:rPr>
                              <m:t>SD</m:t>
                            </m:r>
                          </m:den>
                        </m:f>
                      </m:e>
                    </m:box>
                  </m:e>
                </m:nary>
              </m:oMath>
            </m:oMathPara>
          </w:p>
          <w:p w14:paraId="0325DDBD" w14:textId="77777777" w:rsidR="007D5E9A" w:rsidRDefault="007D5E9A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szCs w:val="21"/>
              </w:rPr>
            </w:pPr>
          </w:p>
        </w:tc>
      </w:tr>
    </w:tbl>
    <w:p w14:paraId="611F739C" w14:textId="77777777" w:rsidR="007D5E9A" w:rsidRDefault="00000000">
      <w:pPr>
        <w:spacing w:line="24" w:lineRule="atLeast"/>
        <w:rPr>
          <w:rFonts w:eastAsia="微软雅黑" w:hAnsi="Cambria Math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Abbreviation</w:t>
      </w:r>
      <w:r>
        <w:rPr>
          <w:rFonts w:ascii="Times New Roman" w:eastAsia="宋体" w:hAnsi="Times New Roman" w:cs="Times New Roman" w:hint="eastAsia"/>
          <w:szCs w:val="21"/>
        </w:rPr>
        <w:t xml:space="preserve">: CDAI, </w:t>
      </w:r>
      <w:r>
        <w:rPr>
          <w:rFonts w:ascii="Times New Roman" w:eastAsia="微软雅黑" w:hAnsi="Times New Roman" w:cs="Times New Roman"/>
          <w:szCs w:val="21"/>
          <w:shd w:val="clear" w:color="auto" w:fill="FFFFFF"/>
        </w:rPr>
        <w:t>composite dietary antioxidant index</w:t>
      </w:r>
      <w:r>
        <w:rPr>
          <w:rFonts w:ascii="Times New Roman" w:eastAsia="微软雅黑" w:hAnsi="Times New Roman" w:cs="Times New Roman" w:hint="eastAsia"/>
          <w:szCs w:val="21"/>
          <w:shd w:val="clear" w:color="auto" w:fill="FFFFFF"/>
        </w:rPr>
        <w:t>; SD, standard error.</w:t>
      </w:r>
    </w:p>
    <w:p w14:paraId="0EA31406" w14:textId="77777777" w:rsidR="007D5E9A" w:rsidRDefault="007D5E9A">
      <w:pPr>
        <w:spacing w:line="24" w:lineRule="atLeast"/>
        <w:rPr>
          <w:rFonts w:ascii="Times New Roman" w:eastAsia="宋体" w:hAnsi="Times New Roman" w:cs="Times New Roman"/>
          <w:b/>
          <w:bCs/>
          <w:szCs w:val="21"/>
        </w:rPr>
      </w:pPr>
    </w:p>
    <w:p w14:paraId="2143D052" w14:textId="77777777" w:rsidR="007D5E9A" w:rsidRDefault="00000000">
      <w:pPr>
        <w:spacing w:line="24" w:lineRule="atLeas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b/>
          <w:bCs/>
          <w:szCs w:val="21"/>
        </w:rPr>
        <w:t>Supplementary Table 2</w:t>
      </w:r>
      <w:r>
        <w:rPr>
          <w:rFonts w:ascii="Times New Roman" w:eastAsia="宋体" w:hAnsi="Times New Roman" w:cs="Times New Roman"/>
          <w:b/>
          <w:bCs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 xml:space="preserve"> Detailed description and options of covariables in the National Health and Nutrition Examination Survey</w:t>
      </w:r>
      <w:r>
        <w:rPr>
          <w:rFonts w:ascii="Times New Roman" w:eastAsia="宋体" w:hAnsi="Times New Roman" w:cs="Times New Roman" w:hint="eastAsia"/>
          <w:szCs w:val="21"/>
        </w:rPr>
        <w:t xml:space="preserve"> (</w:t>
      </w:r>
      <w:r>
        <w:rPr>
          <w:rFonts w:ascii="Times New Roman" w:eastAsia="宋体" w:hAnsi="Times New Roman" w:cs="Times New Roman"/>
          <w:szCs w:val="21"/>
        </w:rPr>
        <w:t>NHANES</w:t>
      </w:r>
      <w:r>
        <w:rPr>
          <w:rFonts w:ascii="Times New Roman" w:eastAsia="宋体" w:hAnsi="Times New Roman" w:cs="Times New Roman" w:hint="eastAsia"/>
          <w:szCs w:val="21"/>
        </w:rPr>
        <w:t>)</w:t>
      </w:r>
      <w:r>
        <w:rPr>
          <w:rFonts w:ascii="Times New Roman" w:eastAsia="宋体" w:hAnsi="Times New Roman" w:cs="Times New Roman"/>
          <w:szCs w:val="21"/>
        </w:rPr>
        <w:t xml:space="preserve"> database. </w:t>
      </w:r>
    </w:p>
    <w:tbl>
      <w:tblPr>
        <w:tblStyle w:val="a7"/>
        <w:tblW w:w="10237" w:type="dxa"/>
        <w:jc w:val="center"/>
        <w:tblBorders>
          <w:left w:val="none" w:sz="0" w:space="0" w:color="auto"/>
        </w:tblBorders>
        <w:tblLook w:val="04A0" w:firstRow="1" w:lastRow="0" w:firstColumn="1" w:lastColumn="0" w:noHBand="0" w:noVBand="1"/>
      </w:tblPr>
      <w:tblGrid>
        <w:gridCol w:w="2187"/>
        <w:gridCol w:w="8050"/>
      </w:tblGrid>
      <w:tr w:rsidR="007D5E9A" w14:paraId="44151D2C" w14:textId="77777777">
        <w:trPr>
          <w:trHeight w:val="547"/>
          <w:jc w:val="center"/>
        </w:trPr>
        <w:tc>
          <w:tcPr>
            <w:tcW w:w="2187" w:type="dxa"/>
            <w:tcBorders>
              <w:right w:val="nil"/>
            </w:tcBorders>
          </w:tcPr>
          <w:p w14:paraId="419B9EB9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Covariables</w:t>
            </w:r>
          </w:p>
          <w:p w14:paraId="0A24FD3F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</w:p>
        </w:tc>
        <w:tc>
          <w:tcPr>
            <w:tcW w:w="8050" w:type="dxa"/>
            <w:tcBorders>
              <w:left w:val="nil"/>
              <w:right w:val="nil"/>
            </w:tcBorders>
          </w:tcPr>
          <w:p w14:paraId="48140BCA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Description in NHANES</w:t>
            </w:r>
          </w:p>
        </w:tc>
      </w:tr>
      <w:tr w:rsidR="007D5E9A" w14:paraId="63878CF9" w14:textId="77777777">
        <w:trPr>
          <w:trHeight w:val="547"/>
          <w:jc w:val="center"/>
        </w:trPr>
        <w:tc>
          <w:tcPr>
            <w:tcW w:w="2187" w:type="dxa"/>
            <w:tcBorders>
              <w:right w:val="nil"/>
            </w:tcBorders>
          </w:tcPr>
          <w:p w14:paraId="790D0430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Age</w:t>
            </w:r>
          </w:p>
          <w:p w14:paraId="0366922A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</w:p>
        </w:tc>
        <w:tc>
          <w:tcPr>
            <w:tcW w:w="8050" w:type="dxa"/>
            <w:tcBorders>
              <w:left w:val="nil"/>
              <w:right w:val="nil"/>
            </w:tcBorders>
          </w:tcPr>
          <w:p w14:paraId="1101F7F4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Age</w:t>
            </w:r>
          </w:p>
          <w:p w14:paraId="139202F1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</w:p>
        </w:tc>
      </w:tr>
      <w:tr w:rsidR="007D5E9A" w14:paraId="6CF59002" w14:textId="77777777">
        <w:trPr>
          <w:trHeight w:val="547"/>
          <w:jc w:val="center"/>
        </w:trPr>
        <w:tc>
          <w:tcPr>
            <w:tcW w:w="2187" w:type="dxa"/>
            <w:tcBorders>
              <w:right w:val="nil"/>
            </w:tcBorders>
          </w:tcPr>
          <w:p w14:paraId="623819DA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Gender</w:t>
            </w:r>
          </w:p>
        </w:tc>
        <w:tc>
          <w:tcPr>
            <w:tcW w:w="8050" w:type="dxa"/>
            <w:tcBorders>
              <w:left w:val="nil"/>
              <w:right w:val="nil"/>
            </w:tcBorders>
          </w:tcPr>
          <w:p w14:paraId="1D44A188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Gender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 xml:space="preserve"> (</w:t>
            </w:r>
            <w:proofErr w:type="spellStart"/>
            <w:proofErr w:type="gramStart"/>
            <w:r>
              <w:rPr>
                <w:rFonts w:ascii="Times New Roman" w:eastAsia="宋体" w:hAnsi="Times New Roman" w:cs="Times New Roman"/>
                <w:szCs w:val="21"/>
              </w:rPr>
              <w:t>Female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,male</w:t>
            </w:r>
            <w:proofErr w:type="spellEnd"/>
            <w:proofErr w:type="gramEnd"/>
            <w:r>
              <w:rPr>
                <w:rFonts w:ascii="Times New Roman" w:eastAsia="宋体" w:hAnsi="Times New Roman" w:cs="Times New Roman" w:hint="eastAsia"/>
                <w:szCs w:val="21"/>
              </w:rPr>
              <w:t>)</w:t>
            </w:r>
          </w:p>
        </w:tc>
      </w:tr>
      <w:tr w:rsidR="007D5E9A" w14:paraId="0853B7E0" w14:textId="77777777">
        <w:trPr>
          <w:trHeight w:val="547"/>
          <w:jc w:val="center"/>
        </w:trPr>
        <w:tc>
          <w:tcPr>
            <w:tcW w:w="2187" w:type="dxa"/>
            <w:tcBorders>
              <w:right w:val="nil"/>
            </w:tcBorders>
          </w:tcPr>
          <w:p w14:paraId="23A28002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Race</w:t>
            </w:r>
          </w:p>
        </w:tc>
        <w:tc>
          <w:tcPr>
            <w:tcW w:w="8050" w:type="dxa"/>
            <w:tcBorders>
              <w:left w:val="nil"/>
              <w:right w:val="nil"/>
            </w:tcBorders>
          </w:tcPr>
          <w:p w14:paraId="2C159A21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Race (Non-Hispanic Black, Non-Hispanic White, Mexican American, and other races)</w:t>
            </w:r>
          </w:p>
          <w:p w14:paraId="53C6AFD1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</w:p>
        </w:tc>
      </w:tr>
      <w:tr w:rsidR="007D5E9A" w14:paraId="28F842C7" w14:textId="77777777">
        <w:trPr>
          <w:trHeight w:val="547"/>
          <w:jc w:val="center"/>
        </w:trPr>
        <w:tc>
          <w:tcPr>
            <w:tcW w:w="2187" w:type="dxa"/>
            <w:tcBorders>
              <w:right w:val="nil"/>
            </w:tcBorders>
            <w:shd w:val="clear" w:color="auto" w:fill="auto"/>
          </w:tcPr>
          <w:p w14:paraId="0EC1C2C7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E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ducation level</w:t>
            </w:r>
          </w:p>
        </w:tc>
        <w:tc>
          <w:tcPr>
            <w:tcW w:w="8050" w:type="dxa"/>
            <w:tcBorders>
              <w:left w:val="nil"/>
              <w:right w:val="nil"/>
            </w:tcBorders>
            <w:shd w:val="clear" w:color="auto" w:fill="auto"/>
          </w:tcPr>
          <w:p w14:paraId="3A59FAD3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E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ducation level</w:t>
            </w:r>
            <w:r>
              <w:rPr>
                <w:rFonts w:ascii="Times New Roman" w:eastAsia="宋体" w:hAnsi="Times New Roman" w:cs="Times New Roman"/>
                <w:szCs w:val="21"/>
              </w:rPr>
              <w:t>（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less than 9th grade, 9th-11th grade, high school, some college, and college or above</w:t>
            </w:r>
            <w:r>
              <w:rPr>
                <w:rFonts w:ascii="Times New Roman" w:eastAsia="宋体" w:hAnsi="Times New Roman" w:cs="Times New Roman"/>
                <w:szCs w:val="21"/>
              </w:rPr>
              <w:t>）</w:t>
            </w:r>
          </w:p>
        </w:tc>
      </w:tr>
      <w:tr w:rsidR="007D5E9A" w14:paraId="175EDB2E" w14:textId="77777777">
        <w:trPr>
          <w:trHeight w:val="547"/>
          <w:jc w:val="center"/>
        </w:trPr>
        <w:tc>
          <w:tcPr>
            <w:tcW w:w="2187" w:type="dxa"/>
            <w:tcBorders>
              <w:right w:val="nil"/>
            </w:tcBorders>
            <w:shd w:val="clear" w:color="auto" w:fill="auto"/>
          </w:tcPr>
          <w:p w14:paraId="572682C4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P</w:t>
            </w:r>
            <w:r>
              <w:rPr>
                <w:rFonts w:ascii="Times New Roman" w:eastAsia="宋体" w:hAnsi="Times New Roman" w:cs="Times New Roman"/>
                <w:szCs w:val="21"/>
              </w:rPr>
              <w:t>overty income ratio</w:t>
            </w:r>
          </w:p>
        </w:tc>
        <w:tc>
          <w:tcPr>
            <w:tcW w:w="8050" w:type="dxa"/>
            <w:tcBorders>
              <w:left w:val="nil"/>
              <w:right w:val="nil"/>
            </w:tcBorders>
            <w:shd w:val="clear" w:color="auto" w:fill="auto"/>
          </w:tcPr>
          <w:p w14:paraId="7B737510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A ratio of family income to poverty</w:t>
            </w:r>
            <w:r>
              <w:rPr>
                <w:rFonts w:ascii="Times New Roman" w:eastAsia="宋体" w:hAnsi="Times New Roman" w:cs="Times New Roman"/>
                <w:szCs w:val="21"/>
              </w:rPr>
              <w:t>（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&lt;1.30, 1.30-3.49, and ≥ 3.50</w:t>
            </w:r>
            <w:r>
              <w:rPr>
                <w:rFonts w:ascii="Times New Roman" w:eastAsia="宋体" w:hAnsi="Times New Roman" w:cs="Times New Roman"/>
                <w:szCs w:val="21"/>
              </w:rPr>
              <w:t>）</w:t>
            </w:r>
          </w:p>
        </w:tc>
      </w:tr>
      <w:tr w:rsidR="007D5E9A" w14:paraId="6CFBC888" w14:textId="77777777">
        <w:trPr>
          <w:trHeight w:val="547"/>
          <w:jc w:val="center"/>
        </w:trPr>
        <w:tc>
          <w:tcPr>
            <w:tcW w:w="2187" w:type="dxa"/>
            <w:tcBorders>
              <w:right w:val="nil"/>
            </w:tcBorders>
          </w:tcPr>
          <w:p w14:paraId="2D0B2AA3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M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arital status</w:t>
            </w:r>
          </w:p>
        </w:tc>
        <w:tc>
          <w:tcPr>
            <w:tcW w:w="8050" w:type="dxa"/>
            <w:tcBorders>
              <w:left w:val="nil"/>
              <w:right w:val="nil"/>
            </w:tcBorders>
          </w:tcPr>
          <w:p w14:paraId="206F682A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M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arital status</w:t>
            </w:r>
            <w:r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proofErr w:type="gramStart"/>
            <w:r>
              <w:rPr>
                <w:rFonts w:ascii="Times New Roman" w:eastAsia="宋体" w:hAnsi="Times New Roman" w:cs="Times New Roman"/>
                <w:szCs w:val="21"/>
              </w:rPr>
              <w:t>(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 xml:space="preserve"> married</w:t>
            </w:r>
            <w:proofErr w:type="gramEnd"/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, unmarried, and others (widowed, divorced, and separated)</w:t>
            </w:r>
            <w:r>
              <w:rPr>
                <w:rFonts w:ascii="Times New Roman" w:eastAsia="宋体" w:hAnsi="Times New Roman" w:cs="Times New Roman"/>
                <w:szCs w:val="21"/>
              </w:rPr>
              <w:t>)</w:t>
            </w:r>
          </w:p>
        </w:tc>
      </w:tr>
      <w:tr w:rsidR="007D5E9A" w14:paraId="167C41E2" w14:textId="77777777">
        <w:trPr>
          <w:trHeight w:val="547"/>
          <w:jc w:val="center"/>
        </w:trPr>
        <w:tc>
          <w:tcPr>
            <w:tcW w:w="2187" w:type="dxa"/>
            <w:tcBorders>
              <w:right w:val="nil"/>
            </w:tcBorders>
          </w:tcPr>
          <w:p w14:paraId="1248E8DE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Energy</w:t>
            </w:r>
          </w:p>
        </w:tc>
        <w:tc>
          <w:tcPr>
            <w:tcW w:w="8050" w:type="dxa"/>
            <w:tcBorders>
              <w:left w:val="nil"/>
              <w:right w:val="nil"/>
            </w:tcBorders>
          </w:tcPr>
          <w:p w14:paraId="121A5003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The total daily energy intake in the NHANES database represent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ed</w:t>
            </w:r>
            <w:r>
              <w:rPr>
                <w:rFonts w:ascii="Times New Roman" w:eastAsia="宋体" w:hAnsi="Times New Roman" w:cs="Times New Roman"/>
                <w:szCs w:val="21"/>
              </w:rPr>
              <w:t xml:space="preserve"> the total number of kilocalories consumed from all foods and beverages by a participant over a 24-hour period.</w:t>
            </w:r>
          </w:p>
        </w:tc>
      </w:tr>
      <w:tr w:rsidR="007D5E9A" w14:paraId="08C1E30E" w14:textId="77777777">
        <w:trPr>
          <w:trHeight w:val="547"/>
          <w:jc w:val="center"/>
        </w:trPr>
        <w:tc>
          <w:tcPr>
            <w:tcW w:w="2187" w:type="dxa"/>
            <w:tcBorders>
              <w:right w:val="nil"/>
            </w:tcBorders>
          </w:tcPr>
          <w:p w14:paraId="37F836D2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W</w:t>
            </w:r>
            <w:r>
              <w:rPr>
                <w:rFonts w:ascii="Times New Roman" w:eastAsia="宋体" w:hAnsi="Times New Roman" w:cs="Times New Roman"/>
                <w:szCs w:val="21"/>
              </w:rPr>
              <w:t>hite blood cell</w:t>
            </w:r>
          </w:p>
        </w:tc>
        <w:tc>
          <w:tcPr>
            <w:tcW w:w="8050" w:type="dxa"/>
            <w:tcBorders>
              <w:left w:val="nil"/>
              <w:right w:val="nil"/>
            </w:tcBorders>
          </w:tcPr>
          <w:p w14:paraId="485BE736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WBC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 xml:space="preserve"> was 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obtained from NHANES laboratory data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.</w:t>
            </w:r>
          </w:p>
        </w:tc>
      </w:tr>
      <w:tr w:rsidR="007D5E9A" w14:paraId="48DC83BB" w14:textId="77777777">
        <w:trPr>
          <w:trHeight w:val="547"/>
          <w:jc w:val="center"/>
        </w:trPr>
        <w:tc>
          <w:tcPr>
            <w:tcW w:w="2187" w:type="dxa"/>
            <w:tcBorders>
              <w:right w:val="nil"/>
            </w:tcBorders>
          </w:tcPr>
          <w:p w14:paraId="11303ACC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Uric acid</w:t>
            </w:r>
          </w:p>
        </w:tc>
        <w:tc>
          <w:tcPr>
            <w:tcW w:w="8050" w:type="dxa"/>
            <w:tcBorders>
              <w:left w:val="nil"/>
              <w:right w:val="nil"/>
            </w:tcBorders>
          </w:tcPr>
          <w:p w14:paraId="024C6C1F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Uric acid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 xml:space="preserve"> 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w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 xml:space="preserve">as 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obtained from NHANES laboratory data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.</w:t>
            </w:r>
          </w:p>
        </w:tc>
      </w:tr>
      <w:tr w:rsidR="007D5E9A" w14:paraId="213E2590" w14:textId="77777777">
        <w:trPr>
          <w:trHeight w:val="547"/>
          <w:jc w:val="center"/>
        </w:trPr>
        <w:tc>
          <w:tcPr>
            <w:tcW w:w="2187" w:type="dxa"/>
            <w:tcBorders>
              <w:right w:val="nil"/>
            </w:tcBorders>
          </w:tcPr>
          <w:p w14:paraId="4EB665B1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Blood urea nitrogen</w:t>
            </w:r>
          </w:p>
        </w:tc>
        <w:tc>
          <w:tcPr>
            <w:tcW w:w="8050" w:type="dxa"/>
            <w:tcBorders>
              <w:left w:val="nil"/>
              <w:right w:val="nil"/>
            </w:tcBorders>
          </w:tcPr>
          <w:p w14:paraId="46681017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 xml:space="preserve">Blood urea nitrogen 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w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as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 xml:space="preserve"> obtained from NHANES laboratory data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.</w:t>
            </w:r>
          </w:p>
        </w:tc>
      </w:tr>
      <w:tr w:rsidR="007D5E9A" w14:paraId="33E401EC" w14:textId="77777777">
        <w:trPr>
          <w:trHeight w:val="656"/>
          <w:jc w:val="center"/>
        </w:trPr>
        <w:tc>
          <w:tcPr>
            <w:tcW w:w="2187" w:type="dxa"/>
            <w:tcBorders>
              <w:right w:val="nil"/>
            </w:tcBorders>
          </w:tcPr>
          <w:p w14:paraId="6833CBAB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Smoke</w:t>
            </w:r>
            <w:r>
              <w:rPr>
                <w:rFonts w:ascii="Times New Roman" w:eastAsia="宋体" w:hAnsi="Times New Roman" w:cs="Times New Roman"/>
                <w:szCs w:val="21"/>
              </w:rPr>
              <w:t xml:space="preserve"> status</w:t>
            </w:r>
          </w:p>
        </w:tc>
        <w:tc>
          <w:tcPr>
            <w:tcW w:w="8050" w:type="dxa"/>
            <w:tcBorders>
              <w:left w:val="nil"/>
              <w:right w:val="nil"/>
            </w:tcBorders>
          </w:tcPr>
          <w:p w14:paraId="26194E77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Participants were asked whether they smoked at least 100 cigarettes in life (yes and no)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.</w:t>
            </w:r>
          </w:p>
        </w:tc>
      </w:tr>
      <w:tr w:rsidR="007D5E9A" w14:paraId="78E83C6F" w14:textId="77777777">
        <w:trPr>
          <w:trHeight w:val="563"/>
          <w:jc w:val="center"/>
        </w:trPr>
        <w:tc>
          <w:tcPr>
            <w:tcW w:w="2187" w:type="dxa"/>
            <w:tcBorders>
              <w:right w:val="nil"/>
            </w:tcBorders>
          </w:tcPr>
          <w:p w14:paraId="4D2A9AA4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  <w:lang w:eastAsia="en-US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Cardiovascular disease</w:t>
            </w:r>
          </w:p>
        </w:tc>
        <w:tc>
          <w:tcPr>
            <w:tcW w:w="8050" w:type="dxa"/>
            <w:tcBorders>
              <w:left w:val="nil"/>
              <w:right w:val="nil"/>
            </w:tcBorders>
          </w:tcPr>
          <w:p w14:paraId="767B7299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Cardiovascular Disease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 xml:space="preserve"> included coronary heart disease, congestive heart failure, heart attack, stroke, angina.</w:t>
            </w:r>
            <w:r>
              <w:rPr>
                <w:rFonts w:ascii="Times New Roman" w:eastAsia="宋体" w:hAnsi="Times New Roman" w:cs="Times New Roman"/>
                <w:szCs w:val="21"/>
              </w:rPr>
              <w:t xml:space="preserve"> Patients were asked whether they have been told they had coronary heart disease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, congestive heart failure, heart attack, stroke, angina.</w:t>
            </w:r>
            <w:r>
              <w:rPr>
                <w:rFonts w:ascii="Times New Roman" w:eastAsia="宋体" w:hAnsi="Times New Roman" w:cs="Times New Roman"/>
                <w:szCs w:val="21"/>
              </w:rPr>
              <w:t xml:space="preserve"> (yes and no)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.</w:t>
            </w:r>
          </w:p>
        </w:tc>
      </w:tr>
      <w:tr w:rsidR="007D5E9A" w14:paraId="26B8542C" w14:textId="77777777">
        <w:trPr>
          <w:trHeight w:val="563"/>
          <w:jc w:val="center"/>
        </w:trPr>
        <w:tc>
          <w:tcPr>
            <w:tcW w:w="2187" w:type="dxa"/>
            <w:tcBorders>
              <w:right w:val="nil"/>
            </w:tcBorders>
          </w:tcPr>
          <w:p w14:paraId="00635B0D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Chronic kidney disease</w:t>
            </w:r>
          </w:p>
        </w:tc>
        <w:tc>
          <w:tcPr>
            <w:tcW w:w="8050" w:type="dxa"/>
            <w:tcBorders>
              <w:left w:val="nil"/>
              <w:right w:val="nil"/>
            </w:tcBorders>
          </w:tcPr>
          <w:p w14:paraId="7EA8A469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W</w:t>
            </w:r>
            <w:r>
              <w:rPr>
                <w:rFonts w:ascii="Times New Roman" w:eastAsia="宋体" w:hAnsi="Times New Roman" w:cs="Times New Roman"/>
                <w:szCs w:val="21"/>
              </w:rPr>
              <w:t xml:space="preserve">e utilized the Chronic Kidney Disease Epidemiology Collaboration equation to compute the estimated glomerular filtration rate and assess </w:t>
            </w:r>
            <w:proofErr w:type="gramStart"/>
            <w:r>
              <w:rPr>
                <w:rFonts w:ascii="Times New Roman" w:eastAsia="宋体" w:hAnsi="Times New Roman" w:cs="Times New Roman"/>
                <w:szCs w:val="21"/>
              </w:rPr>
              <w:t>Chronic kidney disease</w:t>
            </w:r>
            <w:proofErr w:type="gramEnd"/>
            <w:r>
              <w:rPr>
                <w:rFonts w:ascii="Times New Roman" w:eastAsia="宋体" w:hAnsi="Times New Roman" w:cs="Times New Roman" w:hint="eastAsia"/>
                <w:szCs w:val="21"/>
              </w:rPr>
              <w:t>.</w:t>
            </w:r>
          </w:p>
        </w:tc>
      </w:tr>
      <w:tr w:rsidR="007D5E9A" w14:paraId="58EABAB0" w14:textId="77777777">
        <w:trPr>
          <w:trHeight w:val="563"/>
          <w:jc w:val="center"/>
        </w:trPr>
        <w:tc>
          <w:tcPr>
            <w:tcW w:w="2187" w:type="dxa"/>
            <w:tcBorders>
              <w:right w:val="nil"/>
            </w:tcBorders>
          </w:tcPr>
          <w:p w14:paraId="0881DFCC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Diabetes</w:t>
            </w:r>
          </w:p>
        </w:tc>
        <w:tc>
          <w:tcPr>
            <w:tcW w:w="8050" w:type="dxa"/>
            <w:tcBorders>
              <w:left w:val="nil"/>
              <w:right w:val="nil"/>
            </w:tcBorders>
          </w:tcPr>
          <w:p w14:paraId="79735758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 xml:space="preserve">Diabetes was defined as the diagnosis told by doctors or current use of diabetes medications or insulin. </w:t>
            </w:r>
          </w:p>
        </w:tc>
      </w:tr>
      <w:tr w:rsidR="007D5E9A" w14:paraId="1F7310BE" w14:textId="77777777">
        <w:trPr>
          <w:trHeight w:val="563"/>
          <w:jc w:val="center"/>
        </w:trPr>
        <w:tc>
          <w:tcPr>
            <w:tcW w:w="2187" w:type="dxa"/>
            <w:tcBorders>
              <w:right w:val="nil"/>
            </w:tcBorders>
          </w:tcPr>
          <w:p w14:paraId="4008C52F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Hyperlipidemia</w:t>
            </w:r>
          </w:p>
        </w:tc>
        <w:tc>
          <w:tcPr>
            <w:tcW w:w="8050" w:type="dxa"/>
            <w:tcBorders>
              <w:left w:val="nil"/>
              <w:right w:val="nil"/>
            </w:tcBorders>
          </w:tcPr>
          <w:p w14:paraId="2B816E59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Participants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 xml:space="preserve"> 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 xml:space="preserve">were defined as having hyperlipidemia if they had a triglyceride level 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≥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150 mg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/</w:t>
            </w:r>
            <w:proofErr w:type="spellStart"/>
            <w:r>
              <w:rPr>
                <w:rFonts w:ascii="Times New Roman" w:eastAsia="宋体" w:hAnsi="Times New Roman" w:cs="Times New Roman" w:hint="eastAsia"/>
                <w:szCs w:val="21"/>
              </w:rPr>
              <w:t>dL,or</w:t>
            </w:r>
            <w:proofErr w:type="spellEnd"/>
            <w:r>
              <w:rPr>
                <w:rFonts w:ascii="Times New Roman" w:eastAsia="宋体" w:hAnsi="Times New Roman" w:cs="Times New Roman" w:hint="eastAsia"/>
                <w:szCs w:val="21"/>
              </w:rPr>
              <w:t xml:space="preserve"> 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total cholesterol level &gt;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200 mg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/</w:t>
            </w:r>
            <w:proofErr w:type="spellStart"/>
            <w:r>
              <w:rPr>
                <w:rFonts w:ascii="Times New Roman" w:eastAsia="宋体" w:hAnsi="Times New Roman" w:cs="Times New Roman" w:hint="eastAsia"/>
                <w:szCs w:val="21"/>
              </w:rPr>
              <w:t>dL,or</w:t>
            </w:r>
            <w:proofErr w:type="spellEnd"/>
            <w:r>
              <w:rPr>
                <w:rFonts w:ascii="Times New Roman" w:eastAsia="宋体" w:hAnsi="Times New Roman" w:cs="Times New Roman" w:hint="eastAsia"/>
                <w:szCs w:val="21"/>
              </w:rPr>
              <w:t xml:space="preserve"> low-density lipoprotein cholesterol 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≥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130mg/dL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，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or high-density lipoproteins &lt;40mg/dL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, or took lipid‐lowering medication.</w:t>
            </w:r>
          </w:p>
        </w:tc>
      </w:tr>
      <w:tr w:rsidR="007D5E9A" w14:paraId="4041C078" w14:textId="77777777">
        <w:trPr>
          <w:trHeight w:val="563"/>
          <w:jc w:val="center"/>
        </w:trPr>
        <w:tc>
          <w:tcPr>
            <w:tcW w:w="2187" w:type="dxa"/>
            <w:tcBorders>
              <w:right w:val="nil"/>
            </w:tcBorders>
          </w:tcPr>
          <w:p w14:paraId="1C561CA5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  <w:lang w:eastAsia="en-US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A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>lcohol status</w:t>
            </w:r>
          </w:p>
        </w:tc>
        <w:tc>
          <w:tcPr>
            <w:tcW w:w="8050" w:type="dxa"/>
            <w:tcBorders>
              <w:left w:val="nil"/>
              <w:right w:val="nil"/>
            </w:tcBorders>
          </w:tcPr>
          <w:p w14:paraId="2E95B4B1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A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t xml:space="preserve">lcohol status was categorized as never (&lt; 12 drinks in a lifetime), former (≥12 drinks in 1 year and did not drink last year), mild drinker (≤ 1 drink/day for women or ≤ 2 drinks/day for </w:t>
            </w:r>
            <w:r>
              <w:rPr>
                <w:rFonts w:ascii="Times New Roman" w:eastAsia="宋体" w:hAnsi="Times New Roman" w:cs="Times New Roman"/>
                <w:szCs w:val="21"/>
                <w:lang w:eastAsia="en-US"/>
              </w:rPr>
              <w:lastRenderedPageBreak/>
              <w:t>men), and heavy drinker (≥ 2 drinks/day for women or ≥3 drinks/day for men)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.</w:t>
            </w:r>
          </w:p>
        </w:tc>
      </w:tr>
    </w:tbl>
    <w:p w14:paraId="35819117" w14:textId="77777777" w:rsidR="007D5E9A" w:rsidRDefault="00000000">
      <w:pPr>
        <w:spacing w:line="24" w:lineRule="atLeas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lastRenderedPageBreak/>
        <w:t>Abbreviations: NHANES</w:t>
      </w:r>
      <w:r>
        <w:rPr>
          <w:rFonts w:ascii="Times New Roman" w:eastAsia="宋体" w:hAnsi="Times New Roman" w:cs="Times New Roman" w:hint="eastAsia"/>
          <w:szCs w:val="21"/>
        </w:rPr>
        <w:t xml:space="preserve">, </w:t>
      </w:r>
      <w:r>
        <w:rPr>
          <w:rFonts w:ascii="Times New Roman" w:eastAsia="宋体" w:hAnsi="Times New Roman" w:cs="Times New Roman"/>
          <w:szCs w:val="21"/>
        </w:rPr>
        <w:t>National Health and Nutrition Examination Survey</w:t>
      </w:r>
    </w:p>
    <w:p w14:paraId="46A7DC7F" w14:textId="77777777" w:rsidR="007D5E9A" w:rsidRDefault="007D5E9A">
      <w:pPr>
        <w:spacing w:line="24" w:lineRule="atLeast"/>
        <w:rPr>
          <w:rFonts w:ascii="Times New Roman" w:eastAsia="宋体" w:hAnsi="Times New Roman" w:cs="Times New Roman"/>
          <w:b/>
          <w:bCs/>
          <w:szCs w:val="21"/>
        </w:rPr>
      </w:pPr>
    </w:p>
    <w:p w14:paraId="30C2D65E" w14:textId="77777777" w:rsidR="007D5E9A" w:rsidRDefault="007D5E9A">
      <w:pPr>
        <w:spacing w:line="24" w:lineRule="atLeast"/>
        <w:rPr>
          <w:rFonts w:ascii="Times New Roman" w:eastAsia="宋体" w:hAnsi="Times New Roman" w:cs="Times New Roman"/>
          <w:b/>
          <w:bCs/>
          <w:szCs w:val="21"/>
        </w:rPr>
      </w:pPr>
    </w:p>
    <w:p w14:paraId="3DA6B302" w14:textId="77777777" w:rsidR="007D5E9A" w:rsidRDefault="007D5E9A">
      <w:pPr>
        <w:spacing w:line="24" w:lineRule="atLeast"/>
        <w:rPr>
          <w:rFonts w:ascii="Times New Roman" w:eastAsia="宋体" w:hAnsi="Times New Roman" w:cs="Times New Roman"/>
          <w:b/>
          <w:bCs/>
          <w:szCs w:val="21"/>
        </w:rPr>
      </w:pPr>
    </w:p>
    <w:p w14:paraId="3F2E2BEB" w14:textId="77777777" w:rsidR="007D5E9A" w:rsidRDefault="007D5E9A">
      <w:pPr>
        <w:spacing w:line="24" w:lineRule="atLeast"/>
        <w:rPr>
          <w:rFonts w:ascii="Times New Roman" w:eastAsia="宋体" w:hAnsi="Times New Roman" w:cs="Times New Roman"/>
          <w:b/>
          <w:bCs/>
          <w:szCs w:val="21"/>
        </w:rPr>
      </w:pPr>
    </w:p>
    <w:p w14:paraId="6957A831" w14:textId="77777777" w:rsidR="007D5E9A" w:rsidRDefault="007D5E9A">
      <w:pPr>
        <w:spacing w:line="24" w:lineRule="atLeast"/>
        <w:rPr>
          <w:rFonts w:ascii="Times New Roman" w:eastAsia="宋体" w:hAnsi="Times New Roman" w:cs="Times New Roman"/>
          <w:b/>
          <w:bCs/>
          <w:szCs w:val="21"/>
        </w:rPr>
      </w:pPr>
    </w:p>
    <w:p w14:paraId="62DC4720" w14:textId="77777777" w:rsidR="007D5E9A" w:rsidRDefault="00000000">
      <w:pPr>
        <w:spacing w:line="24" w:lineRule="atLeas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b/>
          <w:bCs/>
          <w:color w:val="FF0000"/>
          <w:szCs w:val="21"/>
        </w:rPr>
        <w:t>Supplementary Table 3</w:t>
      </w:r>
      <w:r>
        <w:rPr>
          <w:rFonts w:ascii="Times New Roman" w:eastAsia="宋体" w:hAnsi="Times New Roman" w:cs="Times New Roman"/>
          <w:b/>
          <w:bCs/>
          <w:color w:val="FF0000"/>
          <w:szCs w:val="21"/>
        </w:rPr>
        <w:t>.</w:t>
      </w:r>
      <w:r>
        <w:rPr>
          <w:rFonts w:ascii="Times New Roman" w:eastAsia="宋体" w:hAnsi="Times New Roman" w:cs="Times New Roman"/>
          <w:color w:val="FF0000"/>
          <w:szCs w:val="21"/>
        </w:rPr>
        <w:t xml:space="preserve"> </w:t>
      </w:r>
      <w:r>
        <w:rPr>
          <w:rFonts w:ascii="Times New Roman" w:eastAsia="宋体" w:hAnsi="Times New Roman" w:cs="Times New Roman"/>
          <w:szCs w:val="21"/>
        </w:rPr>
        <w:t>Association between CDAI and sarcopenia risk among hypertensive adults using a hypertensive cut-off value of 140/90 mmHg (n=5015).</w:t>
      </w:r>
    </w:p>
    <w:tbl>
      <w:tblPr>
        <w:tblW w:w="5497" w:type="pct"/>
        <w:tblInd w:w="-453" w:type="dxa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8"/>
        <w:gridCol w:w="1857"/>
        <w:gridCol w:w="1109"/>
        <w:gridCol w:w="1728"/>
        <w:gridCol w:w="1069"/>
        <w:gridCol w:w="1738"/>
        <w:gridCol w:w="1376"/>
      </w:tblGrid>
      <w:tr w:rsidR="007D5E9A" w14:paraId="56F0CCFE" w14:textId="77777777">
        <w:trPr>
          <w:trHeight w:val="365"/>
        </w:trPr>
        <w:tc>
          <w:tcPr>
            <w:tcW w:w="857" w:type="pct"/>
            <w:vMerge w:val="restart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37A182F9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Variables</w:t>
            </w:r>
          </w:p>
        </w:tc>
        <w:tc>
          <w:tcPr>
            <w:tcW w:w="1383" w:type="pct"/>
            <w:gridSpan w:val="2"/>
            <w:tcBorders>
              <w:top w:val="single" w:sz="12" w:space="0" w:color="auto"/>
              <w:left w:val="nil"/>
              <w:bottom w:val="single" w:sz="12" w:space="0" w:color="000000"/>
              <w:right w:val="nil"/>
            </w:tcBorders>
          </w:tcPr>
          <w:p w14:paraId="4A2A56F5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Model 1</w:t>
            </w:r>
          </w:p>
        </w:tc>
        <w:tc>
          <w:tcPr>
            <w:tcW w:w="1305" w:type="pct"/>
            <w:gridSpan w:val="2"/>
            <w:tcBorders>
              <w:top w:val="single" w:sz="12" w:space="0" w:color="auto"/>
              <w:left w:val="nil"/>
              <w:bottom w:val="single" w:sz="12" w:space="0" w:color="000000"/>
              <w:right w:val="nil"/>
            </w:tcBorders>
          </w:tcPr>
          <w:p w14:paraId="5556E04D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Model 2</w:t>
            </w:r>
          </w:p>
        </w:tc>
        <w:tc>
          <w:tcPr>
            <w:tcW w:w="1453" w:type="pct"/>
            <w:gridSpan w:val="2"/>
            <w:tcBorders>
              <w:top w:val="single" w:sz="12" w:space="0" w:color="auto"/>
              <w:left w:val="nil"/>
              <w:bottom w:val="single" w:sz="12" w:space="0" w:color="000000"/>
              <w:right w:val="nil"/>
            </w:tcBorders>
          </w:tcPr>
          <w:p w14:paraId="00E7C803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Model 3</w:t>
            </w:r>
          </w:p>
        </w:tc>
      </w:tr>
      <w:tr w:rsidR="007D5E9A" w14:paraId="015E4667" w14:textId="77777777">
        <w:trPr>
          <w:trHeight w:val="365"/>
        </w:trPr>
        <w:tc>
          <w:tcPr>
            <w:tcW w:w="857" w:type="pct"/>
            <w:vMerge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  <w:vAlign w:val="center"/>
          </w:tcPr>
          <w:p w14:paraId="6EF50510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66" w:type="pct"/>
            <w:tcBorders>
              <w:top w:val="single" w:sz="12" w:space="0" w:color="000000"/>
              <w:left w:val="nil"/>
              <w:bottom w:val="single" w:sz="12" w:space="0" w:color="auto"/>
              <w:right w:val="nil"/>
            </w:tcBorders>
          </w:tcPr>
          <w:p w14:paraId="48D0257B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β/OR (95%CI)</w:t>
            </w:r>
          </w:p>
        </w:tc>
        <w:tc>
          <w:tcPr>
            <w:tcW w:w="517" w:type="pct"/>
            <w:tcBorders>
              <w:top w:val="single" w:sz="12" w:space="0" w:color="000000"/>
              <w:left w:val="nil"/>
              <w:bottom w:val="single" w:sz="12" w:space="0" w:color="auto"/>
              <w:right w:val="nil"/>
            </w:tcBorders>
          </w:tcPr>
          <w:p w14:paraId="743AC476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iCs/>
                <w:sz w:val="20"/>
                <w:szCs w:val="20"/>
              </w:rPr>
              <w:t xml:space="preserve">P </w:t>
            </w: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value</w:t>
            </w:r>
          </w:p>
        </w:tc>
        <w:tc>
          <w:tcPr>
            <w:tcW w:w="806" w:type="pct"/>
            <w:tcBorders>
              <w:top w:val="single" w:sz="12" w:space="0" w:color="000000"/>
              <w:left w:val="nil"/>
              <w:bottom w:val="single" w:sz="12" w:space="0" w:color="auto"/>
              <w:right w:val="nil"/>
            </w:tcBorders>
          </w:tcPr>
          <w:p w14:paraId="0D8FC879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β/OR (95%CI)</w:t>
            </w:r>
          </w:p>
        </w:tc>
        <w:tc>
          <w:tcPr>
            <w:tcW w:w="499" w:type="pct"/>
            <w:tcBorders>
              <w:top w:val="single" w:sz="12" w:space="0" w:color="000000"/>
              <w:left w:val="nil"/>
              <w:bottom w:val="single" w:sz="12" w:space="0" w:color="auto"/>
              <w:right w:val="nil"/>
            </w:tcBorders>
          </w:tcPr>
          <w:p w14:paraId="600A891F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iCs/>
                <w:sz w:val="20"/>
                <w:szCs w:val="20"/>
              </w:rPr>
              <w:t xml:space="preserve">P </w:t>
            </w: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value</w:t>
            </w:r>
          </w:p>
        </w:tc>
        <w:tc>
          <w:tcPr>
            <w:tcW w:w="811" w:type="pct"/>
            <w:tcBorders>
              <w:top w:val="single" w:sz="12" w:space="0" w:color="000000"/>
              <w:left w:val="nil"/>
              <w:bottom w:val="single" w:sz="12" w:space="0" w:color="auto"/>
              <w:right w:val="nil"/>
            </w:tcBorders>
          </w:tcPr>
          <w:p w14:paraId="0F3B48D3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β/OR (95%CI)</w:t>
            </w:r>
          </w:p>
        </w:tc>
        <w:tc>
          <w:tcPr>
            <w:tcW w:w="642" w:type="pct"/>
            <w:tcBorders>
              <w:top w:val="single" w:sz="12" w:space="0" w:color="000000"/>
              <w:left w:val="nil"/>
              <w:bottom w:val="single" w:sz="12" w:space="0" w:color="auto"/>
              <w:right w:val="nil"/>
            </w:tcBorders>
          </w:tcPr>
          <w:p w14:paraId="706582F8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iCs/>
                <w:sz w:val="20"/>
                <w:szCs w:val="20"/>
              </w:rPr>
              <w:t xml:space="preserve">P </w:t>
            </w: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value</w:t>
            </w:r>
          </w:p>
        </w:tc>
      </w:tr>
      <w:tr w:rsidR="007D5E9A" w14:paraId="71FAED06" w14:textId="77777777">
        <w:trPr>
          <w:trHeight w:val="365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18BF9CE3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 w:val="20"/>
                <w:szCs w:val="20"/>
              </w:rPr>
              <w:t>ALM (kg)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09F25E2D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32139BAF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354854AA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32E4D5E9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0FEF2D2B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65A47A76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7D5E9A" w14:paraId="1BC1FB92" w14:textId="77777777">
        <w:trPr>
          <w:trHeight w:val="309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4263F3C5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Continuous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0F8B9852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0.15(0.07, 0.23)</w:t>
            </w: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795F4DC3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58373916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0.15(0.10, 0.20)</w:t>
            </w: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5995D596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642FB81A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0.07(0.03, 0.11)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15B6AAC5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</w:tr>
      <w:tr w:rsidR="007D5E9A" w14:paraId="4A1A2118" w14:textId="77777777">
        <w:trPr>
          <w:trHeight w:val="309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7BDCC5C2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Categories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5F9BACBE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723EEC3B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72F99342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6B9346AE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0C0B7D39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2FCF9880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7D5E9A" w14:paraId="6D6428D0" w14:textId="77777777">
        <w:trPr>
          <w:trHeight w:val="309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67747134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Q1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7927CFC6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kern w:val="0"/>
                <w:sz w:val="20"/>
                <w:szCs w:val="20"/>
              </w:rPr>
              <w:t>Reference</w:t>
            </w: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075AD0C0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420705EE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kern w:val="0"/>
                <w:sz w:val="20"/>
                <w:szCs w:val="20"/>
              </w:rPr>
              <w:t>Reference</w:t>
            </w: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227B4D6F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6F566A39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kern w:val="0"/>
                <w:sz w:val="20"/>
                <w:szCs w:val="20"/>
              </w:rPr>
              <w:t>Reference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6135F0CF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7D5E9A" w14:paraId="4D6D44AD" w14:textId="77777777">
        <w:trPr>
          <w:trHeight w:val="309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367E97D1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Q2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31930844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1.09(0.34, 1.84)</w:t>
            </w: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70B0DC49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0.005</w:t>
            </w: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4BFFD694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0.63(0.15, 1.10)</w:t>
            </w: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30D7C18F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0.010</w:t>
            </w: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602963F6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0.28(-0.12, 0.69)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2EECCC7B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0.170</w:t>
            </w:r>
          </w:p>
        </w:tc>
      </w:tr>
      <w:tr w:rsidR="007D5E9A" w14:paraId="30F1B432" w14:textId="77777777">
        <w:trPr>
          <w:trHeight w:val="309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73F09150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Q3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6F039C8D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1.64(0.84, 2.44)</w:t>
            </w: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7899BC0A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3CCFBE59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1.04(0.55, 1.53)</w:t>
            </w: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08C639C5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37A30173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0.50(0.07, 0.93)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037B6C2D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0.022</w:t>
            </w:r>
          </w:p>
        </w:tc>
      </w:tr>
      <w:tr w:rsidR="007D5E9A" w14:paraId="212FB4B4" w14:textId="77777777">
        <w:trPr>
          <w:trHeight w:val="309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439A9E55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Q4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1DB8F740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1.76(0.97, 2.54)</w:t>
            </w: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5BF219F4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71DA9F52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1.62(1.13, 2.11)</w:t>
            </w: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6B1F0C64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212B3F0F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0.81(0.29, 1.33)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131ED720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0.003</w:t>
            </w:r>
          </w:p>
        </w:tc>
      </w:tr>
      <w:tr w:rsidR="007D5E9A" w14:paraId="02CA70A8" w14:textId="77777777">
        <w:trPr>
          <w:trHeight w:val="309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3E341B35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iCs/>
                <w:sz w:val="20"/>
                <w:szCs w:val="20"/>
              </w:rPr>
              <w:t>P</w:t>
            </w:r>
            <w:r>
              <w:rPr>
                <w:rFonts w:ascii="Times New Roman" w:eastAsia="宋体" w:hAnsi="Times New Roman" w:cs="Times New Roman"/>
                <w:sz w:val="20"/>
                <w:szCs w:val="20"/>
              </w:rPr>
              <w:t xml:space="preserve"> for trend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70049478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7AC0C616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507C3BFE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49165ECF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7A3FF560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0.002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02B55D56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7D5E9A" w14:paraId="6A8C16C3" w14:textId="77777777">
        <w:trPr>
          <w:trHeight w:val="309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2B508A4B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Per 1-SD increase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4BD61EA1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0.55(0.27, 0.83)</w:t>
            </w: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7061F24F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7899A925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0.56(0.39, 0.74)</w:t>
            </w: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39FAF8BD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6C252DB8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0.27(0.12, 0.41)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6957DB7C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</w:tr>
      <w:tr w:rsidR="007D5E9A" w14:paraId="5944B728" w14:textId="77777777">
        <w:trPr>
          <w:trHeight w:val="309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1B521434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 w:val="20"/>
                <w:szCs w:val="20"/>
              </w:rPr>
              <w:t>Sarcopenia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36DDCECE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76538C59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7E3C3886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6751792B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3BA256A4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5DE29A42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7D5E9A" w14:paraId="48CEA70D" w14:textId="77777777">
        <w:trPr>
          <w:trHeight w:val="309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3C3369ED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Continuous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1B736E42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0.88(0.85,0.92)</w:t>
            </w: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3659A68E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2857617D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0.88(0.84, 0.92)</w:t>
            </w: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3B43D253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33E892CB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0.89(0.83, 0.96)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7C544B03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0.002</w:t>
            </w:r>
          </w:p>
        </w:tc>
      </w:tr>
      <w:tr w:rsidR="007D5E9A" w14:paraId="3ACD0C36" w14:textId="77777777">
        <w:trPr>
          <w:trHeight w:val="309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3AEB8C64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Categories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7975BD07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34E1BA8B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52BE29DB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64589BB6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365A7733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479BB073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7D5E9A" w14:paraId="5B959B00" w14:textId="77777777">
        <w:trPr>
          <w:trHeight w:val="309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675A44B0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Q1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0D0A024F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kern w:val="0"/>
                <w:sz w:val="20"/>
                <w:szCs w:val="20"/>
              </w:rPr>
              <w:t>Reference</w:t>
            </w: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54075987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39027F2A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kern w:val="0"/>
                <w:sz w:val="20"/>
                <w:szCs w:val="20"/>
              </w:rPr>
              <w:t>Reference</w:t>
            </w: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2FD5300C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20A10245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Helvetica" w:hAnsi="Times New Roman" w:cs="Times New Roman"/>
                <w:kern w:val="0"/>
                <w:sz w:val="20"/>
                <w:szCs w:val="20"/>
              </w:rPr>
              <w:t>Reference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5BE0D699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7D5E9A" w14:paraId="0EB56A34" w14:textId="77777777">
        <w:trPr>
          <w:trHeight w:val="309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15682CAA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Q2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58862B2E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0.77(0.59,1.01)</w:t>
            </w: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2E33711C" w14:textId="77777777" w:rsidR="007D5E9A" w:rsidRDefault="00000000">
            <w:pPr>
              <w:tabs>
                <w:tab w:val="center" w:pos="522"/>
              </w:tabs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0.057</w:t>
            </w: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0686FA25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0.71(0.54, 0.94)</w:t>
            </w: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03370F0C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0.015</w:t>
            </w: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7248FC46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0.71(0.51, 0.98)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7502FD1E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0.036</w:t>
            </w:r>
          </w:p>
        </w:tc>
      </w:tr>
      <w:tr w:rsidR="007D5E9A" w14:paraId="0A3A078B" w14:textId="77777777">
        <w:trPr>
          <w:trHeight w:val="309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60B7FB92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Q3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0D3AF01A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0.54(0.38,0.75)</w:t>
            </w: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2919C3AE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5C74A075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0.49(0.34, 0.70)</w:t>
            </w: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013C95D4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0C4C9A05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0.46(0.30, 0.71)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71BD678A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</w:tr>
      <w:tr w:rsidR="007D5E9A" w14:paraId="77006ECC" w14:textId="77777777">
        <w:trPr>
          <w:trHeight w:val="309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6F4018AA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Q4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08FF224E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0.30(0.21,0.43)</w:t>
            </w: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3ED3B738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5B28B19D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0.29(0.20, 0.41)</w:t>
            </w: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4332BECF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0CCEDED3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0.28(0.17, 0.46)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7746ED09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</w:tr>
      <w:tr w:rsidR="007D5E9A" w14:paraId="0065F86F" w14:textId="77777777">
        <w:trPr>
          <w:trHeight w:val="309"/>
        </w:trPr>
        <w:tc>
          <w:tcPr>
            <w:tcW w:w="857" w:type="pct"/>
            <w:tcBorders>
              <w:top w:val="nil"/>
              <w:left w:val="nil"/>
              <w:bottom w:val="nil"/>
              <w:right w:val="nil"/>
            </w:tcBorders>
          </w:tcPr>
          <w:p w14:paraId="66A7841D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iCs/>
                <w:sz w:val="20"/>
                <w:szCs w:val="20"/>
              </w:rPr>
              <w:t>P</w:t>
            </w:r>
            <w:r>
              <w:rPr>
                <w:rFonts w:ascii="Times New Roman" w:eastAsia="宋体" w:hAnsi="Times New Roman" w:cs="Times New Roman"/>
                <w:sz w:val="20"/>
                <w:szCs w:val="20"/>
              </w:rPr>
              <w:t xml:space="preserve"> for trend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nil"/>
            </w:tcBorders>
          </w:tcPr>
          <w:p w14:paraId="43843E0D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517" w:type="pct"/>
            <w:tcBorders>
              <w:top w:val="nil"/>
              <w:left w:val="nil"/>
              <w:bottom w:val="nil"/>
              <w:right w:val="nil"/>
            </w:tcBorders>
          </w:tcPr>
          <w:p w14:paraId="434D59AE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06" w:type="pct"/>
            <w:tcBorders>
              <w:top w:val="nil"/>
              <w:left w:val="nil"/>
              <w:bottom w:val="nil"/>
              <w:right w:val="nil"/>
            </w:tcBorders>
          </w:tcPr>
          <w:p w14:paraId="097643B4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499" w:type="pct"/>
            <w:tcBorders>
              <w:top w:val="nil"/>
              <w:left w:val="nil"/>
              <w:bottom w:val="nil"/>
              <w:right w:val="nil"/>
            </w:tcBorders>
          </w:tcPr>
          <w:p w14:paraId="190FFB8D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  <w:tc>
          <w:tcPr>
            <w:tcW w:w="811" w:type="pct"/>
            <w:tcBorders>
              <w:top w:val="nil"/>
              <w:left w:val="nil"/>
              <w:bottom w:val="nil"/>
              <w:right w:val="nil"/>
            </w:tcBorders>
          </w:tcPr>
          <w:p w14:paraId="15321BAE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nil"/>
            </w:tcBorders>
          </w:tcPr>
          <w:p w14:paraId="3E5C9251" w14:textId="77777777" w:rsidR="007D5E9A" w:rsidRDefault="007D5E9A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</w:p>
        </w:tc>
      </w:tr>
      <w:tr w:rsidR="007D5E9A" w14:paraId="0914D700" w14:textId="77777777">
        <w:trPr>
          <w:trHeight w:val="365"/>
        </w:trPr>
        <w:tc>
          <w:tcPr>
            <w:tcW w:w="857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62F866FB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Per 1-SD increase</w:t>
            </w:r>
          </w:p>
        </w:tc>
        <w:tc>
          <w:tcPr>
            <w:tcW w:w="866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6E938EE9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0.63(0.54,0.74)</w:t>
            </w:r>
          </w:p>
        </w:tc>
        <w:tc>
          <w:tcPr>
            <w:tcW w:w="517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2DDE862B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806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4CCDED79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0.62(0.53, 0.72)</w:t>
            </w:r>
          </w:p>
        </w:tc>
        <w:tc>
          <w:tcPr>
            <w:tcW w:w="499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131C0A3C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&lt;0.001</w:t>
            </w:r>
          </w:p>
        </w:tc>
        <w:tc>
          <w:tcPr>
            <w:tcW w:w="811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35C15A04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0.66(0.50, 0.86)</w:t>
            </w:r>
          </w:p>
        </w:tc>
        <w:tc>
          <w:tcPr>
            <w:tcW w:w="642" w:type="pct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55A72A76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sz w:val="20"/>
                <w:szCs w:val="20"/>
              </w:rPr>
            </w:pPr>
            <w:r>
              <w:rPr>
                <w:rFonts w:ascii="Times New Roman" w:eastAsia="宋体" w:hAnsi="Times New Roman" w:cs="Times New Roman"/>
                <w:sz w:val="20"/>
                <w:szCs w:val="20"/>
              </w:rPr>
              <w:t>0.002</w:t>
            </w:r>
          </w:p>
        </w:tc>
      </w:tr>
    </w:tbl>
    <w:p w14:paraId="7F88BE36" w14:textId="77777777" w:rsidR="007D5E9A" w:rsidRDefault="00000000">
      <w:pPr>
        <w:widowControl/>
        <w:spacing w:line="24" w:lineRule="atLeast"/>
        <w:jc w:val="left"/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</w:pPr>
      <w:r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  <w:t>Model 1: Adjusted for age</w:t>
      </w:r>
    </w:p>
    <w:p w14:paraId="3BF62C0E" w14:textId="77777777" w:rsidR="007D5E9A" w:rsidRDefault="00000000">
      <w:pPr>
        <w:widowControl/>
        <w:spacing w:line="24" w:lineRule="atLeast"/>
        <w:jc w:val="left"/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</w:pPr>
      <w:r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  <w:t>Model 2: Adjusted for age, gender, and race.</w:t>
      </w:r>
    </w:p>
    <w:p w14:paraId="6E04FA76" w14:textId="77777777" w:rsidR="007D5E9A" w:rsidRDefault="00000000">
      <w:pPr>
        <w:widowControl/>
        <w:spacing w:line="24" w:lineRule="atLeast"/>
        <w:jc w:val="left"/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</w:pPr>
      <w:r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  <w:t xml:space="preserve">Model 3: Adjusted for age, gender, race, marital status, education level, poverty income ratio, BMI, smoke, alcohol status, CVD, CKD, diabetes, uric acid, BUN, WBC, hyperlipidemia, and energy. </w:t>
      </w:r>
    </w:p>
    <w:p w14:paraId="500977DA" w14:textId="77777777" w:rsidR="007D5E9A" w:rsidRDefault="00000000">
      <w:pPr>
        <w:widowControl/>
        <w:spacing w:line="24" w:lineRule="atLeast"/>
        <w:jc w:val="left"/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</w:pPr>
      <w:r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  <w:t>Abbreviations: Q, quartiles; SE, standard error; CDAI, composite dietary antioxidant index; PIR, poverty income ratio; WBC, white blood cell; BUN, blood urea nitrogen; CVD, cardiovascular disease; CKD, chronic kidney disease</w:t>
      </w:r>
      <w:r>
        <w:rPr>
          <w:rFonts w:ascii="Times New Roman" w:eastAsia="宋体" w:hAnsi="Times New Roman" w:cs="Times New Roman" w:hint="eastAsia"/>
          <w:kern w:val="0"/>
          <w:sz w:val="20"/>
          <w:szCs w:val="20"/>
          <w:shd w:val="clear" w:color="auto" w:fill="FFFFFF"/>
        </w:rPr>
        <w:t>; BMI, body mass index; ALM, appendicular lean mass; ORs, odds ratios; CIs, confidence intervals; SD, standard deviation.</w:t>
      </w:r>
    </w:p>
    <w:p w14:paraId="1647D11F" w14:textId="77777777" w:rsidR="007D5E9A" w:rsidRDefault="007D5E9A">
      <w:pPr>
        <w:widowControl/>
        <w:spacing w:line="24" w:lineRule="atLeast"/>
        <w:jc w:val="left"/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</w:pPr>
    </w:p>
    <w:p w14:paraId="5C2E4D74" w14:textId="77777777" w:rsidR="007D5E9A" w:rsidRDefault="007D5E9A">
      <w:pPr>
        <w:spacing w:line="24" w:lineRule="atLeast"/>
        <w:rPr>
          <w:rFonts w:ascii="Times New Roman" w:eastAsia="宋体" w:hAnsi="Times New Roman" w:cs="Times New Roman"/>
          <w:szCs w:val="21"/>
        </w:rPr>
      </w:pPr>
    </w:p>
    <w:p w14:paraId="775E4802" w14:textId="77777777" w:rsidR="007D5E9A" w:rsidRDefault="007D5E9A">
      <w:pPr>
        <w:spacing w:line="24" w:lineRule="atLeast"/>
        <w:rPr>
          <w:rFonts w:ascii="Times New Roman" w:eastAsia="宋体" w:hAnsi="Times New Roman" w:cs="Times New Roman"/>
          <w:szCs w:val="21"/>
        </w:rPr>
      </w:pPr>
    </w:p>
    <w:p w14:paraId="76FD7201" w14:textId="77777777" w:rsidR="007D5E9A" w:rsidRDefault="007D5E9A">
      <w:pPr>
        <w:spacing w:line="24" w:lineRule="atLeast"/>
        <w:rPr>
          <w:rFonts w:ascii="Times New Roman" w:eastAsia="宋体" w:hAnsi="Times New Roman" w:cs="Times New Roman"/>
          <w:szCs w:val="21"/>
        </w:rPr>
      </w:pPr>
    </w:p>
    <w:p w14:paraId="740B852C" w14:textId="77777777" w:rsidR="007D5E9A" w:rsidRDefault="007D5E9A">
      <w:pPr>
        <w:spacing w:line="24" w:lineRule="atLeast"/>
        <w:rPr>
          <w:rFonts w:ascii="Times New Roman" w:eastAsia="宋体" w:hAnsi="Times New Roman" w:cs="Times New Roman"/>
          <w:szCs w:val="21"/>
        </w:rPr>
      </w:pPr>
    </w:p>
    <w:p w14:paraId="7900F014" w14:textId="77777777" w:rsidR="007D5E9A" w:rsidRDefault="007D5E9A">
      <w:pPr>
        <w:spacing w:line="24" w:lineRule="atLeast"/>
        <w:rPr>
          <w:rFonts w:ascii="Times New Roman" w:eastAsia="宋体" w:hAnsi="Times New Roman" w:cs="Times New Roman"/>
          <w:szCs w:val="21"/>
        </w:rPr>
      </w:pPr>
    </w:p>
    <w:p w14:paraId="34071C4A" w14:textId="77777777" w:rsidR="007D5E9A" w:rsidRDefault="007D5E9A">
      <w:pPr>
        <w:spacing w:line="24" w:lineRule="atLeast"/>
        <w:rPr>
          <w:rFonts w:ascii="Times New Roman" w:eastAsia="宋体" w:hAnsi="Times New Roman" w:cs="Times New Roman"/>
          <w:szCs w:val="21"/>
        </w:rPr>
      </w:pPr>
    </w:p>
    <w:p w14:paraId="0FD50174" w14:textId="77777777" w:rsidR="007D5E9A" w:rsidRDefault="00000000">
      <w:pPr>
        <w:spacing w:line="24" w:lineRule="atLeas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b/>
          <w:bCs/>
          <w:color w:val="FF0000"/>
          <w:szCs w:val="21"/>
        </w:rPr>
        <w:t>Supplementary Table </w:t>
      </w:r>
      <w:r>
        <w:rPr>
          <w:rFonts w:ascii="Times New Roman" w:eastAsia="宋体" w:hAnsi="Times New Roman" w:cs="Times New Roman" w:hint="eastAsia"/>
          <w:b/>
          <w:bCs/>
          <w:color w:val="FF0000"/>
          <w:szCs w:val="21"/>
        </w:rPr>
        <w:t>4</w:t>
      </w:r>
      <w:r>
        <w:rPr>
          <w:rFonts w:ascii="Times New Roman" w:eastAsia="宋体" w:hAnsi="Times New Roman" w:cs="Times New Roman"/>
          <w:b/>
          <w:bCs/>
          <w:color w:val="FF0000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 xml:space="preserve"> Association between CDAI and sarcopenia risk among hypertensive adults by using three diagnosis criteria.</w:t>
      </w:r>
    </w:p>
    <w:tbl>
      <w:tblPr>
        <w:tblStyle w:val="a7"/>
        <w:tblW w:w="4999" w:type="pct"/>
        <w:jc w:val="center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37"/>
        <w:gridCol w:w="1655"/>
        <w:gridCol w:w="908"/>
        <w:gridCol w:w="1655"/>
        <w:gridCol w:w="908"/>
        <w:gridCol w:w="1655"/>
        <w:gridCol w:w="926"/>
      </w:tblGrid>
      <w:tr w:rsidR="007D5E9A" w14:paraId="025CB039" w14:textId="77777777">
        <w:trPr>
          <w:jc w:val="center"/>
        </w:trPr>
        <w:tc>
          <w:tcPr>
            <w:tcW w:w="1045" w:type="pct"/>
            <w:tcBorders>
              <w:bottom w:val="nil"/>
            </w:tcBorders>
          </w:tcPr>
          <w:p w14:paraId="79A565F3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</w:p>
        </w:tc>
        <w:tc>
          <w:tcPr>
            <w:tcW w:w="1315" w:type="pct"/>
            <w:gridSpan w:val="2"/>
            <w:tcBorders>
              <w:tl2br w:val="nil"/>
              <w:tr2bl w:val="nil"/>
            </w:tcBorders>
          </w:tcPr>
          <w:p w14:paraId="59451EED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Model 1</w:t>
            </w:r>
          </w:p>
        </w:tc>
        <w:tc>
          <w:tcPr>
            <w:tcW w:w="1315" w:type="pct"/>
            <w:gridSpan w:val="2"/>
            <w:tcBorders>
              <w:tl2br w:val="nil"/>
              <w:tr2bl w:val="nil"/>
            </w:tcBorders>
          </w:tcPr>
          <w:p w14:paraId="4BC0497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Model 2</w:t>
            </w:r>
          </w:p>
        </w:tc>
        <w:tc>
          <w:tcPr>
            <w:tcW w:w="1324" w:type="pct"/>
            <w:gridSpan w:val="2"/>
            <w:tcBorders>
              <w:tl2br w:val="nil"/>
              <w:tr2bl w:val="nil"/>
            </w:tcBorders>
          </w:tcPr>
          <w:p w14:paraId="2ACFD64A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Model 3</w:t>
            </w:r>
          </w:p>
        </w:tc>
      </w:tr>
      <w:tr w:rsidR="007D5E9A" w14:paraId="3AEE8846" w14:textId="77777777">
        <w:trPr>
          <w:jc w:val="center"/>
        </w:trPr>
        <w:tc>
          <w:tcPr>
            <w:tcW w:w="1045" w:type="pct"/>
            <w:tcBorders>
              <w:top w:val="nil"/>
              <w:bottom w:val="nil"/>
            </w:tcBorders>
          </w:tcPr>
          <w:p w14:paraId="38E13E4B" w14:textId="77777777" w:rsidR="007D5E9A" w:rsidRDefault="007D5E9A">
            <w:pPr>
              <w:spacing w:line="24" w:lineRule="atLeast"/>
              <w:jc w:val="left"/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1"/>
              </w:rPr>
            </w:pPr>
          </w:p>
        </w:tc>
        <w:tc>
          <w:tcPr>
            <w:tcW w:w="3954" w:type="pct"/>
            <w:gridSpan w:val="6"/>
            <w:tcBorders>
              <w:top w:val="single" w:sz="12" w:space="0" w:color="000000"/>
              <w:bottom w:val="nil"/>
            </w:tcBorders>
          </w:tcPr>
          <w:p w14:paraId="341F96F2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kern w:val="0"/>
                <w:sz w:val="22"/>
                <w:szCs w:val="21"/>
              </w:rPr>
              <w:t>Hypertension diagnosed by blood pressure values (n = 5364)</w:t>
            </w:r>
          </w:p>
        </w:tc>
      </w:tr>
      <w:tr w:rsidR="007D5E9A" w14:paraId="4EF4BA09" w14:textId="77777777">
        <w:trPr>
          <w:jc w:val="center"/>
        </w:trPr>
        <w:tc>
          <w:tcPr>
            <w:tcW w:w="1045" w:type="pct"/>
            <w:tcBorders>
              <w:top w:val="nil"/>
              <w:bottom w:val="nil"/>
            </w:tcBorders>
          </w:tcPr>
          <w:p w14:paraId="6BEEAE68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ALM (kg)</w:t>
            </w:r>
          </w:p>
        </w:tc>
        <w:tc>
          <w:tcPr>
            <w:tcW w:w="849" w:type="pct"/>
            <w:tcBorders>
              <w:top w:val="nil"/>
              <w:bottom w:val="nil"/>
            </w:tcBorders>
          </w:tcPr>
          <w:p w14:paraId="3EA5C8D6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β(95%CI)</w:t>
            </w:r>
          </w:p>
        </w:tc>
        <w:tc>
          <w:tcPr>
            <w:tcW w:w="466" w:type="pct"/>
            <w:tcBorders>
              <w:top w:val="nil"/>
              <w:bottom w:val="nil"/>
            </w:tcBorders>
          </w:tcPr>
          <w:p w14:paraId="791699B9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 xml:space="preserve">P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  <w:tc>
          <w:tcPr>
            <w:tcW w:w="849" w:type="pct"/>
            <w:tcBorders>
              <w:top w:val="nil"/>
              <w:bottom w:val="nil"/>
            </w:tcBorders>
          </w:tcPr>
          <w:p w14:paraId="73144231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β(95%CI)</w:t>
            </w:r>
          </w:p>
        </w:tc>
        <w:tc>
          <w:tcPr>
            <w:tcW w:w="466" w:type="pct"/>
            <w:tcBorders>
              <w:top w:val="nil"/>
              <w:bottom w:val="nil"/>
            </w:tcBorders>
          </w:tcPr>
          <w:p w14:paraId="6B3C58E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 xml:space="preserve">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  <w:tc>
          <w:tcPr>
            <w:tcW w:w="849" w:type="pct"/>
            <w:tcBorders>
              <w:top w:val="nil"/>
              <w:bottom w:val="nil"/>
            </w:tcBorders>
          </w:tcPr>
          <w:p w14:paraId="052B3637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β(95%CI)</w:t>
            </w:r>
          </w:p>
        </w:tc>
        <w:tc>
          <w:tcPr>
            <w:tcW w:w="475" w:type="pct"/>
            <w:tcBorders>
              <w:top w:val="nil"/>
              <w:bottom w:val="nil"/>
            </w:tcBorders>
          </w:tcPr>
          <w:p w14:paraId="65CB9A8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 xml:space="preserve">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</w:tr>
      <w:tr w:rsidR="007D5E9A" w14:paraId="502DC668" w14:textId="77777777">
        <w:trPr>
          <w:jc w:val="center"/>
        </w:trPr>
        <w:tc>
          <w:tcPr>
            <w:tcW w:w="1045" w:type="pct"/>
            <w:tcBorders>
              <w:top w:val="nil"/>
              <w:tl2br w:val="nil"/>
              <w:tr2bl w:val="nil"/>
            </w:tcBorders>
          </w:tcPr>
          <w:p w14:paraId="1D91C88F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Continuous</w:t>
            </w:r>
          </w:p>
        </w:tc>
        <w:tc>
          <w:tcPr>
            <w:tcW w:w="849" w:type="pct"/>
            <w:tcBorders>
              <w:top w:val="nil"/>
              <w:tl2br w:val="nil"/>
              <w:tr2bl w:val="nil"/>
            </w:tcBorders>
          </w:tcPr>
          <w:p w14:paraId="7CC7CEE4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 w:val="20"/>
                <w:szCs w:val="21"/>
              </w:rPr>
              <w:t>0.08(0.02, 0.14)</w:t>
            </w:r>
          </w:p>
        </w:tc>
        <w:tc>
          <w:tcPr>
            <w:tcW w:w="466" w:type="pct"/>
            <w:tcBorders>
              <w:top w:val="nil"/>
              <w:tl2br w:val="nil"/>
              <w:tr2bl w:val="nil"/>
            </w:tcBorders>
          </w:tcPr>
          <w:p w14:paraId="185902D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0.011</w:t>
            </w:r>
          </w:p>
        </w:tc>
        <w:tc>
          <w:tcPr>
            <w:tcW w:w="849" w:type="pct"/>
            <w:tcBorders>
              <w:top w:val="nil"/>
              <w:tl2br w:val="nil"/>
              <w:tr2bl w:val="nil"/>
            </w:tcBorders>
          </w:tcPr>
          <w:p w14:paraId="29CE5E8D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0.11(0.07, 0.15)</w:t>
            </w:r>
          </w:p>
        </w:tc>
        <w:tc>
          <w:tcPr>
            <w:tcW w:w="466" w:type="pct"/>
            <w:tcBorders>
              <w:top w:val="nil"/>
              <w:tl2br w:val="nil"/>
              <w:tr2bl w:val="nil"/>
            </w:tcBorders>
          </w:tcPr>
          <w:p w14:paraId="6D0E116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op w:val="nil"/>
              <w:tl2br w:val="nil"/>
              <w:tr2bl w:val="nil"/>
            </w:tcBorders>
          </w:tcPr>
          <w:p w14:paraId="4FBE6F83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0.06(0.03, 0.10)</w:t>
            </w:r>
          </w:p>
        </w:tc>
        <w:tc>
          <w:tcPr>
            <w:tcW w:w="475" w:type="pct"/>
            <w:tcBorders>
              <w:top w:val="nil"/>
              <w:tl2br w:val="nil"/>
              <w:tr2bl w:val="nil"/>
            </w:tcBorders>
          </w:tcPr>
          <w:p w14:paraId="57C8DF5D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</w:tr>
      <w:tr w:rsidR="007D5E9A" w14:paraId="1D06B393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07215289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Categories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4680193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451139E5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40E6E9B2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75A033E4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DF3B70E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29C24611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</w:tr>
      <w:tr w:rsidR="007D5E9A" w14:paraId="6E7CCC7A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2523C72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689ADD5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182AD7E2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EA8BB30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6A220237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5BBF9C2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07695209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</w:tr>
      <w:tr w:rsidR="007D5E9A" w14:paraId="7A83C065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44BD60C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Q2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03680E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0.7(0.08, 1.32)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35FB996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0.027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039A1F9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0.58(0.18, 0.97)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0E0789D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0.005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5240331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0.19(-0.12, 0.50)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03F5748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0.226</w:t>
            </w:r>
          </w:p>
        </w:tc>
      </w:tr>
      <w:tr w:rsidR="007D5E9A" w14:paraId="1E694FF6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2B78D7B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Q3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55F8F048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1.13(0.27, 1.99)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4A26E1B5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0.011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50ADB7A4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0.84(0.28, 1.41)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336AF515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0.004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948ECB0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0.30(-0.10, 0.69)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6DACEF68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0.137</w:t>
            </w:r>
          </w:p>
        </w:tc>
      </w:tr>
      <w:tr w:rsidR="007D5E9A" w14:paraId="72A8B13F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492D487D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Q4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6942BF1F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1.28(0.63, 1.93)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40AAEEB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7893BB63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1.26(0.87, 1.65)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5688C2E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57AA983F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0.60(0.23, 0.97)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469F91C9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0.002</w:t>
            </w:r>
          </w:p>
        </w:tc>
      </w:tr>
      <w:tr w:rsidR="007D5E9A" w14:paraId="10DD853D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4CA4A6F0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0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for trend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63A51223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4EB5B775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C4BEF2D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78236BDC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1EDC0F3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190FDEA8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</w:tr>
      <w:tr w:rsidR="007D5E9A" w14:paraId="59AD2929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1D4D341A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Per 1-SD increase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5D4931A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0.29(0.07, 0.51)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371C1520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0.011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4B634DCE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0.4(0.25, 0.55)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3BACC83B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6E8A4497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0.23(0.10, 0.36)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497647CC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</w:tr>
      <w:tr w:rsidR="007D5E9A" w14:paraId="7F0D3072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6310F1BE" w14:textId="77777777" w:rsidR="007D5E9A" w:rsidRDefault="00000000">
            <w:pPr>
              <w:spacing w:line="24" w:lineRule="atLeast"/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Sarcopenia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C16FCCA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OR (95%CI)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38EC810A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 xml:space="preserve">P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641F2430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OR (95%CI)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19BC3130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 xml:space="preserve">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63B7B98E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OR (95%CI)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1A56627E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 xml:space="preserve">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</w:tr>
      <w:tr w:rsidR="007D5E9A" w14:paraId="1E6B58C0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380879DA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Continuous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837848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0.89(0.85,0.92)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44E3EAD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76B4EBA1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0.88(0.84, 0.92)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15C0822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54E56B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0.92(0.86, 0.98)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7961223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0.007</w:t>
            </w:r>
          </w:p>
        </w:tc>
      </w:tr>
      <w:tr w:rsidR="007D5E9A" w14:paraId="5BAB6E7A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17388875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Categories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6ED7A7A6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62477F84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6BF3E0AA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05FEC150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94ACEBD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65E9F6BC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</w:tr>
      <w:tr w:rsidR="007D5E9A" w14:paraId="63DD76BD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5ABA128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F661844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7ABDC443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5D1F3D31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127B6E93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  <w:szCs w:val="21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44DB4DA" w14:textId="77777777" w:rsidR="007D5E9A" w:rsidRDefault="00000000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541FD28E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</w:tr>
      <w:tr w:rsidR="007D5E9A" w14:paraId="7D124FBE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422112BE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Q2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9D8D3F3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0.70(0.54,0.90)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5E47CB58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0.007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350E669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0.67(0.52, 0.87)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51A3EBC9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0.003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8996D38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0.73(0.54, 1.01)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50FFB6BD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0.054</w:t>
            </w:r>
          </w:p>
        </w:tc>
      </w:tr>
      <w:tr w:rsidR="007D5E9A" w14:paraId="154E74C6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428A191F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Q3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46F27FB8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0.58(0.41,0.81)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601A9E4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7837850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0.55(0.40, 0.77)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04F738F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B50D98F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0.62(0.39, 0.98)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07B7128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0.042</w:t>
            </w:r>
          </w:p>
        </w:tc>
      </w:tr>
      <w:tr w:rsidR="007D5E9A" w14:paraId="1B8050A9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7DE29E73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Q4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79E5AFC3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0.31(0.22,0.43)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7B94D422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79B05C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0.30(0.21, 0.42)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31396CA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309EF7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0.36(0.21, 0.64)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2F34E6A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</w:tr>
      <w:tr w:rsidR="007D5E9A" w14:paraId="0C48CCDD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24A32748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0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for trend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226BE5D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4361BB05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750825D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06A5F192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73121F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0.001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22F0D5DA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</w:tr>
      <w:tr w:rsidR="007D5E9A" w14:paraId="402E6C04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5FE7E465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Per 1-SD increase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5E31D3AD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0.64(0.54,0.75)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38927DA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66EB0F1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0.63(0.53, 0.74)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62ADB6C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D499B3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0.73(0.57, 0.92)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4BD4DCF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0.007</w:t>
            </w:r>
          </w:p>
        </w:tc>
      </w:tr>
      <w:tr w:rsidR="007D5E9A" w14:paraId="4629730D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4FF29F55" w14:textId="77777777" w:rsidR="007D5E9A" w:rsidRDefault="007D5E9A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</w:p>
        </w:tc>
        <w:tc>
          <w:tcPr>
            <w:tcW w:w="3954" w:type="pct"/>
            <w:gridSpan w:val="6"/>
            <w:tcBorders>
              <w:tl2br w:val="nil"/>
              <w:tr2bl w:val="nil"/>
            </w:tcBorders>
          </w:tcPr>
          <w:p w14:paraId="29D75D7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kern w:val="0"/>
                <w:sz w:val="22"/>
                <w:szCs w:val="21"/>
              </w:rPr>
              <w:t>Hypertension diagnosed by physician (n =4013)</w:t>
            </w:r>
          </w:p>
        </w:tc>
      </w:tr>
      <w:tr w:rsidR="007D5E9A" w14:paraId="17605EC2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3F2F84E0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ALM (kg)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D09665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β(95%CI)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0CA7A65F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 xml:space="preserve">P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6A635A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β(95%CI)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0165D2F1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 xml:space="preserve">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A5A17A8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β(95%CI)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2D4A5309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 xml:space="preserve">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</w:tr>
      <w:tr w:rsidR="007D5E9A" w14:paraId="0F3307B5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671FEDD3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b/>
                <w:bCs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Continuous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4EF39E14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0.18(0.10, 0.26)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73044AB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6B34C7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0.17(0.11, 0.22)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27882534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D07FE6E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0.08(0.04, 0.12)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26B880D4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</w:tr>
      <w:tr w:rsidR="007D5E9A" w14:paraId="6481FE84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33BB5131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Categories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426A59C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49AC1F39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6B36A778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2AC397AA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C9E0BFB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463E7101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</w:tr>
      <w:tr w:rsidR="007D5E9A" w14:paraId="1AED01C1" w14:textId="77777777">
        <w:trPr>
          <w:trHeight w:val="90"/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6A0DEEE8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3933C22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3276B5E0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F2C1DD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2A81247C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761740D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30ADE9BF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</w:tr>
      <w:tr w:rsidR="007D5E9A" w14:paraId="4EA867F0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116919E4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Q2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812EBF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0.87(0.00, 1.74)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58F315AE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0.050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093A1D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0.55(0.01, 1.10)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3AB43841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0.048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EDEE138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0.10(-0.30, 0.51)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3772EAD9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0.610</w:t>
            </w:r>
          </w:p>
        </w:tc>
      </w:tr>
      <w:tr w:rsidR="007D5E9A" w14:paraId="227FC2FD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2DA84B9D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Q3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C698F51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1.71(0.85, 2.58)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68ABE2A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52209E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1.32(0.75, 1.90)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25E31E2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509080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0.47(0.10, 0.84)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1685B50F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0.014</w:t>
            </w:r>
          </w:p>
        </w:tc>
      </w:tr>
      <w:tr w:rsidR="007D5E9A" w14:paraId="418051D7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1A6822C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Q4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80AEEF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2.00(1.17, 2.84)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467EDFF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C63A75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1.78(1.24, 2.32)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66181B9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45E8097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0.72(0.32, 1.12)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71BED863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</w:tr>
      <w:tr w:rsidR="007D5E9A" w14:paraId="04D61786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72D072F4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0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for trend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41D6F04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6DCCB486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613665A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7EE58928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46CBC229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11E477D6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</w:tr>
      <w:tr w:rsidR="007D5E9A" w14:paraId="03BBF32D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24512DCC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Per 1-SD increase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5956B4D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0.67(0.37, 0.97)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6E646BC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D86A82D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0.62(0.42, 0.82)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51EE90E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4839BD7E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0.31(0.16, 0.46)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6A2760DD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</w:tr>
      <w:tr w:rsidR="007D5E9A" w14:paraId="23A8BD92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5C6CC69C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Sarcopenia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540C308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OR (95%CI)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72AE8D6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 xml:space="preserve">P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D745508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OR (95%CI)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62EEE3D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 xml:space="preserve">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1A81B22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OR (95%CI)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2925A14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 xml:space="preserve">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</w:tr>
      <w:tr w:rsidR="007D5E9A" w14:paraId="1F9E668B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1B7D3F6E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Continuous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EF70F54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0.89(0.85,0.93)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5713D9B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F948C5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0.88(0.84, 0.92)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70D9175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53611263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0.89(0.81, 0.96)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4E0B3934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0.006</w:t>
            </w:r>
          </w:p>
        </w:tc>
      </w:tr>
      <w:tr w:rsidR="007D5E9A" w14:paraId="09677A76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1AD0B67E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b/>
                <w:bCs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Categories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53F5CB00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1779A6EE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i/>
                <w:iCs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105A977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41430C21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i/>
                <w:iCs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443515EB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4396C099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i/>
                <w:iCs/>
                <w:kern w:val="0"/>
                <w:sz w:val="20"/>
              </w:rPr>
            </w:pPr>
          </w:p>
        </w:tc>
      </w:tr>
      <w:tr w:rsidR="007D5E9A" w14:paraId="642EC465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61D1C24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47170D9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5A710DA1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E24C709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23F46D2D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730D2712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5AA0C191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</w:tr>
      <w:tr w:rsidR="007D5E9A" w14:paraId="4BEC4079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71314608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Q2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A589DF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0.74(0.54,1.01)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04B0C65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0.060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CB63853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0.69(0.50, 0.95)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459B828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0.024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79EB1542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0.63(0.43, 0.93)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4A9B893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0.021</w:t>
            </w:r>
          </w:p>
        </w:tc>
      </w:tr>
      <w:tr w:rsidR="007D5E9A" w14:paraId="7555B39B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417249F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Q3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588C1A5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0.55(0.38,0.79)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11DB4962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0.002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49AFCE9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0.50(0.34, 0.72)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68E534F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C2E862F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0.40(0.25, 0.63)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5FDE7C5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</w:tr>
      <w:tr w:rsidR="007D5E9A" w14:paraId="5D8BD8BD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73D82782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Q4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46709D23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0.31(0.21,0.45)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69492BBE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72004A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0.29(0.20, 0.43)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625FFC7F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7666EF4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0.24(0.14, 0.42)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4FBB3FCF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</w:tr>
      <w:tr w:rsidR="007D5E9A" w14:paraId="36B710D3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5906C41E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0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for trend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739E9D98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2710C33C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491EA7BE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381600C9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F28F3E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21222A22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</w:tr>
      <w:tr w:rsidR="007D5E9A" w14:paraId="709CF251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280D4A84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Per 1-SD increase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0F077F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0.64(0.55,0.76)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4436A8D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7FF88B88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0.62(0.53, 0.74)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7D0DE68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951A848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0.63(0.46, 0.87)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6CB18089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0.006</w:t>
            </w:r>
          </w:p>
        </w:tc>
      </w:tr>
      <w:tr w:rsidR="007D5E9A" w14:paraId="191D1485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5008F2A7" w14:textId="77777777" w:rsidR="007D5E9A" w:rsidRDefault="007D5E9A">
            <w:pPr>
              <w:spacing w:line="24" w:lineRule="atLeast"/>
              <w:jc w:val="center"/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</w:pPr>
          </w:p>
        </w:tc>
        <w:tc>
          <w:tcPr>
            <w:tcW w:w="3954" w:type="pct"/>
            <w:gridSpan w:val="6"/>
            <w:tcBorders>
              <w:tl2br w:val="nil"/>
              <w:tr2bl w:val="nil"/>
            </w:tcBorders>
          </w:tcPr>
          <w:p w14:paraId="0251D9C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kern w:val="0"/>
                <w:sz w:val="22"/>
                <w:szCs w:val="21"/>
              </w:rPr>
              <w:t>Hypertension diagnosed by anti-hypertensive drugs (n =3167)</w:t>
            </w:r>
          </w:p>
        </w:tc>
      </w:tr>
      <w:tr w:rsidR="007D5E9A" w14:paraId="17B716C3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0BA8E8A5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ALM (kg)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69F1C081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β(95%CI)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7A73086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 xml:space="preserve">P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A1634B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β(95%CI)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30F0BCC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 xml:space="preserve">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E86DA8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β(95%CI)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367A951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 xml:space="preserve">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</w:tr>
      <w:tr w:rsidR="007D5E9A" w14:paraId="257D015C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65F0E42B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b/>
                <w:bCs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lastRenderedPageBreak/>
              <w:t>Continuous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656E41B3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0.18(0.09, 0.27)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51DB687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6942668E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0.18(0.12, 0.24)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33653592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4CC4EFA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0.06(0.02, 0.11)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3A2B2D7E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0.006</w:t>
            </w:r>
          </w:p>
        </w:tc>
      </w:tr>
      <w:tr w:rsidR="007D5E9A" w14:paraId="4524BD4E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47A9DDF2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Categories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5AB4573E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5383C68E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165180C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1E582B66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785B3E2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1F52C38D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</w:tr>
      <w:tr w:rsidR="007D5E9A" w14:paraId="19F112A9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2D7F454F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692B7B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459F0DBF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1DF348D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6AEFC8BB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BF4A108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42D25419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</w:tr>
      <w:tr w:rsidR="007D5E9A" w14:paraId="35B0846F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50658D2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Q2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62E3D32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0.72(-0.27, 1.72)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5928406E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0.153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783C9DD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0.56(-0.06, 1.18)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487F3D4E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0.077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545FC63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0.17(-0.26, 0.61)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7943B62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0.430</w:t>
            </w:r>
          </w:p>
        </w:tc>
      </w:tr>
      <w:tr w:rsidR="007D5E9A" w14:paraId="0CB17BDB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4FD5770E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Q3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4B454108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1.79(0.87, 2.71)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3ADCADC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F040F13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1.29(0.64, 1.94)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19C32CF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6F9FAF4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0.37(-0.01, 0.76)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5C142A8E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0.059</w:t>
            </w:r>
          </w:p>
        </w:tc>
      </w:tr>
      <w:tr w:rsidR="007D5E9A" w14:paraId="5EE4757F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0FE9341D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Q4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080EED1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1.95(1.05, 2.86)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6D5676D4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91997F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1.91(1.27, 2.55)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55E84C0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4BB98C32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0.70(0.22, 1.19)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28444A5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0.005</w:t>
            </w:r>
          </w:p>
        </w:tc>
      </w:tr>
      <w:tr w:rsidR="007D5E9A" w14:paraId="1ABFDCA7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7D7C6213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0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for trend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27CB640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40C9DEA0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1B6E77C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77F66E26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43ECABF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0.003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698E7F8B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</w:tr>
      <w:tr w:rsidR="007D5E9A" w14:paraId="1745F0E0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4D80AE63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Per 1-SD increase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5CAEDCE3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0.68(0.35, 1.02)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3B5CD0E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72C6D8A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0.68(0.46, 0.90)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5171607E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058FB10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0.24(0.07, 0.40)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7487C2B8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0.006</w:t>
            </w:r>
          </w:p>
        </w:tc>
      </w:tr>
      <w:tr w:rsidR="007D5E9A" w14:paraId="434A6821" w14:textId="77777777">
        <w:trPr>
          <w:jc w:val="center"/>
        </w:trPr>
        <w:tc>
          <w:tcPr>
            <w:tcW w:w="1045" w:type="pct"/>
            <w:tcBorders>
              <w:tl2br w:val="nil"/>
              <w:tr2bl w:val="nil"/>
            </w:tcBorders>
          </w:tcPr>
          <w:p w14:paraId="713687BB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b/>
                <w:bCs/>
                <w:kern w:val="0"/>
                <w:sz w:val="20"/>
                <w:szCs w:val="20"/>
              </w:rPr>
              <w:t>Sarcopenia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5402004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OR (95%CI)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6BD17AA2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 xml:space="preserve">P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5E5A86B2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OR (95%CI)</w:t>
            </w:r>
          </w:p>
        </w:tc>
        <w:tc>
          <w:tcPr>
            <w:tcW w:w="466" w:type="pct"/>
            <w:tcBorders>
              <w:tl2br w:val="nil"/>
              <w:tr2bl w:val="nil"/>
            </w:tcBorders>
          </w:tcPr>
          <w:p w14:paraId="51EE3F9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 xml:space="preserve">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  <w:tc>
          <w:tcPr>
            <w:tcW w:w="849" w:type="pct"/>
            <w:tcBorders>
              <w:tl2br w:val="nil"/>
              <w:tr2bl w:val="nil"/>
            </w:tcBorders>
          </w:tcPr>
          <w:p w14:paraId="3C0A776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OR (95%CI)</w:t>
            </w:r>
          </w:p>
        </w:tc>
        <w:tc>
          <w:tcPr>
            <w:tcW w:w="475" w:type="pct"/>
            <w:tcBorders>
              <w:tl2br w:val="nil"/>
              <w:tr2bl w:val="nil"/>
            </w:tcBorders>
          </w:tcPr>
          <w:p w14:paraId="78933AF9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1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 xml:space="preserve"> </w:t>
            </w:r>
            <w:r>
              <w:rPr>
                <w:rFonts w:ascii="Times New Roman" w:eastAsia="Helvetica" w:hAnsi="Times New Roman" w:cs="Times New Roman"/>
                <w:kern w:val="0"/>
                <w:sz w:val="20"/>
                <w:szCs w:val="21"/>
                <w:lang w:bidi="ar"/>
              </w:rPr>
              <w:t>value</w:t>
            </w:r>
          </w:p>
        </w:tc>
      </w:tr>
      <w:tr w:rsidR="007D5E9A" w14:paraId="433D1786" w14:textId="77777777">
        <w:trPr>
          <w:jc w:val="center"/>
        </w:trPr>
        <w:tc>
          <w:tcPr>
            <w:tcW w:w="1045" w:type="pct"/>
          </w:tcPr>
          <w:p w14:paraId="188995A1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Continuous</w:t>
            </w:r>
          </w:p>
        </w:tc>
        <w:tc>
          <w:tcPr>
            <w:tcW w:w="849" w:type="pct"/>
          </w:tcPr>
          <w:p w14:paraId="713DFA9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0.91(0.87,0.95)</w:t>
            </w:r>
          </w:p>
        </w:tc>
        <w:tc>
          <w:tcPr>
            <w:tcW w:w="466" w:type="pct"/>
          </w:tcPr>
          <w:p w14:paraId="71C30FB3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</w:tcPr>
          <w:p w14:paraId="633E43AE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0.90(0.86, 0.95)</w:t>
            </w:r>
          </w:p>
        </w:tc>
        <w:tc>
          <w:tcPr>
            <w:tcW w:w="466" w:type="pct"/>
          </w:tcPr>
          <w:p w14:paraId="66B75B93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</w:tcPr>
          <w:p w14:paraId="23410FC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0.91(0.84, 0.99)</w:t>
            </w:r>
          </w:p>
        </w:tc>
        <w:tc>
          <w:tcPr>
            <w:tcW w:w="475" w:type="pct"/>
          </w:tcPr>
          <w:p w14:paraId="120775C1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0.025</w:t>
            </w:r>
          </w:p>
        </w:tc>
      </w:tr>
      <w:tr w:rsidR="007D5E9A" w14:paraId="6804864C" w14:textId="77777777">
        <w:trPr>
          <w:jc w:val="center"/>
        </w:trPr>
        <w:tc>
          <w:tcPr>
            <w:tcW w:w="1045" w:type="pct"/>
          </w:tcPr>
          <w:p w14:paraId="19BC422E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b/>
                <w:bCs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Categories</w:t>
            </w:r>
          </w:p>
        </w:tc>
        <w:tc>
          <w:tcPr>
            <w:tcW w:w="849" w:type="pct"/>
          </w:tcPr>
          <w:p w14:paraId="664391A9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66" w:type="pct"/>
          </w:tcPr>
          <w:p w14:paraId="4937EE04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i/>
                <w:iCs/>
                <w:kern w:val="0"/>
                <w:sz w:val="20"/>
              </w:rPr>
            </w:pPr>
          </w:p>
        </w:tc>
        <w:tc>
          <w:tcPr>
            <w:tcW w:w="849" w:type="pct"/>
          </w:tcPr>
          <w:p w14:paraId="01B2DF55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66" w:type="pct"/>
          </w:tcPr>
          <w:p w14:paraId="462E651E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i/>
                <w:iCs/>
                <w:kern w:val="0"/>
                <w:sz w:val="20"/>
              </w:rPr>
            </w:pPr>
          </w:p>
        </w:tc>
        <w:tc>
          <w:tcPr>
            <w:tcW w:w="849" w:type="pct"/>
          </w:tcPr>
          <w:p w14:paraId="7CEA144D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475" w:type="pct"/>
          </w:tcPr>
          <w:p w14:paraId="3B19CE1A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i/>
                <w:iCs/>
                <w:kern w:val="0"/>
                <w:sz w:val="20"/>
              </w:rPr>
            </w:pPr>
          </w:p>
        </w:tc>
      </w:tr>
      <w:tr w:rsidR="007D5E9A" w14:paraId="6BB297A3" w14:textId="77777777">
        <w:trPr>
          <w:jc w:val="center"/>
        </w:trPr>
        <w:tc>
          <w:tcPr>
            <w:tcW w:w="1045" w:type="pct"/>
          </w:tcPr>
          <w:p w14:paraId="10A0FD0F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Q1</w:t>
            </w:r>
          </w:p>
        </w:tc>
        <w:tc>
          <w:tcPr>
            <w:tcW w:w="849" w:type="pct"/>
          </w:tcPr>
          <w:p w14:paraId="0B18EE1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66" w:type="pct"/>
          </w:tcPr>
          <w:p w14:paraId="56718579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</w:tcPr>
          <w:p w14:paraId="5C1A4C7F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66" w:type="pct"/>
          </w:tcPr>
          <w:p w14:paraId="77F5804C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</w:tcPr>
          <w:p w14:paraId="2047CD7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1"/>
              </w:rPr>
              <w:t>Reference</w:t>
            </w:r>
          </w:p>
        </w:tc>
        <w:tc>
          <w:tcPr>
            <w:tcW w:w="475" w:type="pct"/>
          </w:tcPr>
          <w:p w14:paraId="7DA2DAD8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</w:tr>
      <w:tr w:rsidR="007D5E9A" w14:paraId="4B556C27" w14:textId="77777777">
        <w:trPr>
          <w:jc w:val="center"/>
        </w:trPr>
        <w:tc>
          <w:tcPr>
            <w:tcW w:w="1045" w:type="pct"/>
          </w:tcPr>
          <w:p w14:paraId="3D703C21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Q2</w:t>
            </w:r>
          </w:p>
        </w:tc>
        <w:tc>
          <w:tcPr>
            <w:tcW w:w="849" w:type="pct"/>
          </w:tcPr>
          <w:p w14:paraId="15BF97D5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0.78(0.54,1.11)</w:t>
            </w:r>
          </w:p>
        </w:tc>
        <w:tc>
          <w:tcPr>
            <w:tcW w:w="466" w:type="pct"/>
          </w:tcPr>
          <w:p w14:paraId="723071AF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0.163</w:t>
            </w:r>
          </w:p>
        </w:tc>
        <w:tc>
          <w:tcPr>
            <w:tcW w:w="849" w:type="pct"/>
          </w:tcPr>
          <w:p w14:paraId="47864654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0.72(0.49, 1.04)</w:t>
            </w:r>
          </w:p>
        </w:tc>
        <w:tc>
          <w:tcPr>
            <w:tcW w:w="466" w:type="pct"/>
          </w:tcPr>
          <w:p w14:paraId="0544D2D2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0.077</w:t>
            </w:r>
          </w:p>
        </w:tc>
        <w:tc>
          <w:tcPr>
            <w:tcW w:w="849" w:type="pct"/>
          </w:tcPr>
          <w:p w14:paraId="3C586EA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0.68(0.45, 1.04)</w:t>
            </w:r>
          </w:p>
        </w:tc>
        <w:tc>
          <w:tcPr>
            <w:tcW w:w="475" w:type="pct"/>
          </w:tcPr>
          <w:p w14:paraId="27999E2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0.078</w:t>
            </w:r>
          </w:p>
        </w:tc>
      </w:tr>
      <w:tr w:rsidR="007D5E9A" w14:paraId="4B48B3C5" w14:textId="77777777">
        <w:trPr>
          <w:jc w:val="center"/>
        </w:trPr>
        <w:tc>
          <w:tcPr>
            <w:tcW w:w="1045" w:type="pct"/>
          </w:tcPr>
          <w:p w14:paraId="2722E52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Q3</w:t>
            </w:r>
          </w:p>
        </w:tc>
        <w:tc>
          <w:tcPr>
            <w:tcW w:w="849" w:type="pct"/>
          </w:tcPr>
          <w:p w14:paraId="00BE63A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0.58(0.38,0.88)</w:t>
            </w:r>
          </w:p>
        </w:tc>
        <w:tc>
          <w:tcPr>
            <w:tcW w:w="466" w:type="pct"/>
          </w:tcPr>
          <w:p w14:paraId="23021759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0.012</w:t>
            </w:r>
          </w:p>
        </w:tc>
        <w:tc>
          <w:tcPr>
            <w:tcW w:w="849" w:type="pct"/>
          </w:tcPr>
          <w:p w14:paraId="224679B7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0.52(0.33, 0.81)</w:t>
            </w:r>
          </w:p>
        </w:tc>
        <w:tc>
          <w:tcPr>
            <w:tcW w:w="466" w:type="pct"/>
          </w:tcPr>
          <w:p w14:paraId="04B8324B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0.004</w:t>
            </w:r>
          </w:p>
        </w:tc>
        <w:tc>
          <w:tcPr>
            <w:tcW w:w="849" w:type="pct"/>
          </w:tcPr>
          <w:p w14:paraId="296E2A0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0.45(0.27, 0.73)</w:t>
            </w:r>
          </w:p>
        </w:tc>
        <w:tc>
          <w:tcPr>
            <w:tcW w:w="475" w:type="pct"/>
          </w:tcPr>
          <w:p w14:paraId="024FD27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0.001</w:t>
            </w:r>
          </w:p>
        </w:tc>
      </w:tr>
      <w:tr w:rsidR="007D5E9A" w14:paraId="27DE84E4" w14:textId="77777777">
        <w:trPr>
          <w:jc w:val="center"/>
        </w:trPr>
        <w:tc>
          <w:tcPr>
            <w:tcW w:w="1045" w:type="pct"/>
          </w:tcPr>
          <w:p w14:paraId="3F255AAF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Q4</w:t>
            </w:r>
          </w:p>
        </w:tc>
        <w:tc>
          <w:tcPr>
            <w:tcW w:w="849" w:type="pct"/>
          </w:tcPr>
          <w:p w14:paraId="1714B0A9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0.39(0.26,0.58)</w:t>
            </w:r>
          </w:p>
        </w:tc>
        <w:tc>
          <w:tcPr>
            <w:tcW w:w="466" w:type="pct"/>
          </w:tcPr>
          <w:p w14:paraId="0FCA0902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</w:tcPr>
          <w:p w14:paraId="54C83B63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0.36(0.23, 0.55)</w:t>
            </w:r>
          </w:p>
        </w:tc>
        <w:tc>
          <w:tcPr>
            <w:tcW w:w="466" w:type="pct"/>
          </w:tcPr>
          <w:p w14:paraId="209B1E82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</w:tcPr>
          <w:p w14:paraId="79EE1706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0.32(0.19, 0.54)</w:t>
            </w:r>
          </w:p>
        </w:tc>
        <w:tc>
          <w:tcPr>
            <w:tcW w:w="475" w:type="pct"/>
          </w:tcPr>
          <w:p w14:paraId="3DF62B0E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</w:tr>
      <w:tr w:rsidR="007D5E9A" w14:paraId="1FE97FFB" w14:textId="77777777">
        <w:trPr>
          <w:jc w:val="center"/>
        </w:trPr>
        <w:tc>
          <w:tcPr>
            <w:tcW w:w="1045" w:type="pct"/>
          </w:tcPr>
          <w:p w14:paraId="1E9CD946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宋体" w:hAnsi="Times New Roman" w:cs="Times New Roman"/>
                <w:i/>
                <w:iCs/>
                <w:kern w:val="0"/>
                <w:sz w:val="20"/>
                <w:szCs w:val="20"/>
              </w:rPr>
              <w:t>P</w:t>
            </w: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 for trend</w:t>
            </w:r>
          </w:p>
        </w:tc>
        <w:tc>
          <w:tcPr>
            <w:tcW w:w="849" w:type="pct"/>
          </w:tcPr>
          <w:p w14:paraId="02481FF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466" w:type="pct"/>
          </w:tcPr>
          <w:p w14:paraId="23FFB9F3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</w:tcPr>
          <w:p w14:paraId="248D69FC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466" w:type="pct"/>
          </w:tcPr>
          <w:p w14:paraId="6027B6B2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  <w:tc>
          <w:tcPr>
            <w:tcW w:w="849" w:type="pct"/>
          </w:tcPr>
          <w:p w14:paraId="6E98B5CF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475" w:type="pct"/>
          </w:tcPr>
          <w:p w14:paraId="7383BCA8" w14:textId="77777777" w:rsidR="007D5E9A" w:rsidRDefault="007D5E9A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</w:p>
        </w:tc>
      </w:tr>
      <w:tr w:rsidR="007D5E9A" w14:paraId="43BF19E3" w14:textId="77777777">
        <w:trPr>
          <w:jc w:val="center"/>
        </w:trPr>
        <w:tc>
          <w:tcPr>
            <w:tcW w:w="1045" w:type="pct"/>
          </w:tcPr>
          <w:p w14:paraId="5BDF78E7" w14:textId="77777777" w:rsidR="007D5E9A" w:rsidRDefault="00000000">
            <w:pPr>
              <w:spacing w:line="24" w:lineRule="atLeast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>Per 1-SD increase</w:t>
            </w:r>
          </w:p>
        </w:tc>
        <w:tc>
          <w:tcPr>
            <w:tcW w:w="849" w:type="pct"/>
          </w:tcPr>
          <w:p w14:paraId="272E2304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0.69(0.58,0.83)</w:t>
            </w:r>
          </w:p>
        </w:tc>
        <w:tc>
          <w:tcPr>
            <w:tcW w:w="466" w:type="pct"/>
          </w:tcPr>
          <w:p w14:paraId="300215EA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</w:tcPr>
          <w:p w14:paraId="5B0F7418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0.67(0.55, 0.81)</w:t>
            </w:r>
          </w:p>
        </w:tc>
        <w:tc>
          <w:tcPr>
            <w:tcW w:w="466" w:type="pct"/>
          </w:tcPr>
          <w:p w14:paraId="7AE59E7F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&lt;0.001</w:t>
            </w:r>
          </w:p>
        </w:tc>
        <w:tc>
          <w:tcPr>
            <w:tcW w:w="849" w:type="pct"/>
          </w:tcPr>
          <w:p w14:paraId="55FE6FE9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0.70(0.51, 0.96)</w:t>
            </w:r>
          </w:p>
        </w:tc>
        <w:tc>
          <w:tcPr>
            <w:tcW w:w="475" w:type="pct"/>
          </w:tcPr>
          <w:p w14:paraId="1D182E90" w14:textId="77777777" w:rsidR="007D5E9A" w:rsidRDefault="00000000">
            <w:pPr>
              <w:spacing w:line="24" w:lineRule="atLeast"/>
              <w:jc w:val="center"/>
              <w:rPr>
                <w:rFonts w:ascii="Times New Roman" w:hAnsi="Times New Roman" w:cs="Times New Roman"/>
                <w:kern w:val="0"/>
                <w:sz w:val="20"/>
              </w:rPr>
            </w:pPr>
            <w:r>
              <w:rPr>
                <w:rFonts w:ascii="Times New Roman" w:hAnsi="Times New Roman" w:cs="Times New Roman"/>
                <w:kern w:val="0"/>
                <w:sz w:val="20"/>
              </w:rPr>
              <w:t>0.025</w:t>
            </w:r>
          </w:p>
        </w:tc>
      </w:tr>
    </w:tbl>
    <w:p w14:paraId="1550EF8F" w14:textId="77777777" w:rsidR="007D5E9A" w:rsidRDefault="00000000">
      <w:pPr>
        <w:widowControl/>
        <w:spacing w:line="24" w:lineRule="atLeast"/>
        <w:jc w:val="left"/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</w:pPr>
      <w:r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  <w:t>Model 1: Adjusted for age</w:t>
      </w:r>
    </w:p>
    <w:p w14:paraId="5D030F79" w14:textId="77777777" w:rsidR="007D5E9A" w:rsidRDefault="00000000">
      <w:pPr>
        <w:widowControl/>
        <w:spacing w:line="24" w:lineRule="atLeast"/>
        <w:jc w:val="left"/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</w:pPr>
      <w:r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  <w:t>Model 2: Adjusted for age, gender, and race.</w:t>
      </w:r>
    </w:p>
    <w:p w14:paraId="59757C95" w14:textId="77777777" w:rsidR="007D5E9A" w:rsidRDefault="00000000">
      <w:pPr>
        <w:spacing w:line="24" w:lineRule="atLeas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  <w:t>Model 3: Adjusted for age, gender, race, marital status, education level, poverty income ratio, BMI, smoke, alcohol status, CVD, CKD, diabetes, uric acid, BUN, WBC, hyperlipidemia, and energy.</w:t>
      </w:r>
    </w:p>
    <w:p w14:paraId="0B3941FD" w14:textId="77777777" w:rsidR="007D5E9A" w:rsidRDefault="00000000">
      <w:pPr>
        <w:spacing w:line="24" w:lineRule="atLeast"/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</w:pPr>
      <w:r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  <w:t>Abbreviations: Q, quartiles; SE, standard error; CDAI, composite dietary antioxidant index; PIR, poverty income ratio; WBC, white blood cell; BUN, blood urea nitrogen; CVD, cardiovascular disease; CKD, chronic kidney disease</w:t>
      </w:r>
      <w:r>
        <w:rPr>
          <w:rFonts w:ascii="Times New Roman" w:eastAsia="宋体" w:hAnsi="Times New Roman" w:cs="Times New Roman" w:hint="eastAsia"/>
          <w:kern w:val="0"/>
          <w:sz w:val="20"/>
          <w:szCs w:val="20"/>
          <w:shd w:val="clear" w:color="auto" w:fill="FFFFFF"/>
        </w:rPr>
        <w:t>; BMI, body mass index; ALM, appendicular lean mass; ORs, odds ratios; CIs, confidence intervals; SD, standard deviation.</w:t>
      </w:r>
    </w:p>
    <w:p w14:paraId="2EA542EE" w14:textId="77777777" w:rsidR="007D5E9A" w:rsidRDefault="007D5E9A">
      <w:pPr>
        <w:spacing w:line="24" w:lineRule="atLeast"/>
        <w:rPr>
          <w:rFonts w:ascii="Times New Roman" w:eastAsia="微软雅黑" w:hAnsi="Times New Roman" w:cs="Times New Roman"/>
          <w:sz w:val="24"/>
          <w:shd w:val="clear" w:color="auto" w:fill="FFFFFF"/>
        </w:rPr>
      </w:pPr>
    </w:p>
    <w:p w14:paraId="15056AE5" w14:textId="77777777" w:rsidR="007D5E9A" w:rsidRDefault="007D5E9A">
      <w:pPr>
        <w:spacing w:line="24" w:lineRule="atLeast"/>
        <w:rPr>
          <w:rFonts w:ascii="Times New Roman" w:eastAsia="微软雅黑" w:hAnsi="Times New Roman" w:cs="Times New Roman"/>
          <w:sz w:val="24"/>
          <w:shd w:val="clear" w:color="auto" w:fill="FFFFFF"/>
        </w:rPr>
      </w:pPr>
    </w:p>
    <w:p w14:paraId="0BE2A325" w14:textId="77777777" w:rsidR="007D5E9A" w:rsidRDefault="007D5E9A">
      <w:pPr>
        <w:spacing w:line="24" w:lineRule="atLeast"/>
        <w:rPr>
          <w:rFonts w:ascii="Times New Roman" w:eastAsia="微软雅黑" w:hAnsi="Times New Roman" w:cs="Times New Roman"/>
          <w:sz w:val="24"/>
          <w:shd w:val="clear" w:color="auto" w:fill="FFFFFF"/>
        </w:rPr>
      </w:pPr>
    </w:p>
    <w:p w14:paraId="10996EA7" w14:textId="77777777" w:rsidR="007D5E9A" w:rsidRDefault="007D5E9A">
      <w:pPr>
        <w:spacing w:line="24" w:lineRule="atLeast"/>
        <w:rPr>
          <w:rFonts w:hint="eastAsia"/>
        </w:rPr>
      </w:pPr>
    </w:p>
    <w:p w14:paraId="6936B696" w14:textId="77777777" w:rsidR="007D5E9A" w:rsidRDefault="007D5E9A">
      <w:pPr>
        <w:spacing w:line="24" w:lineRule="atLeast"/>
        <w:rPr>
          <w:rFonts w:hint="eastAsia"/>
        </w:rPr>
      </w:pPr>
    </w:p>
    <w:p w14:paraId="730781FD" w14:textId="77777777" w:rsidR="007D5E9A" w:rsidRDefault="007D5E9A">
      <w:pPr>
        <w:spacing w:line="24" w:lineRule="atLeast"/>
        <w:rPr>
          <w:rFonts w:hint="eastAsia"/>
        </w:rPr>
      </w:pPr>
    </w:p>
    <w:p w14:paraId="0212BD87" w14:textId="77777777" w:rsidR="007D5E9A" w:rsidRDefault="007D5E9A">
      <w:pPr>
        <w:spacing w:line="24" w:lineRule="atLeast"/>
        <w:rPr>
          <w:rFonts w:hint="eastAsia"/>
        </w:rPr>
      </w:pPr>
    </w:p>
    <w:p w14:paraId="23FD85D6" w14:textId="77777777" w:rsidR="007D5E9A" w:rsidRDefault="007D5E9A">
      <w:pPr>
        <w:spacing w:line="24" w:lineRule="atLeast"/>
        <w:rPr>
          <w:rFonts w:hint="eastAsia"/>
        </w:rPr>
      </w:pPr>
    </w:p>
    <w:p w14:paraId="50043983" w14:textId="77777777" w:rsidR="007D5E9A" w:rsidRDefault="007D5E9A">
      <w:pPr>
        <w:spacing w:line="24" w:lineRule="atLeast"/>
        <w:rPr>
          <w:rFonts w:hint="eastAsia"/>
        </w:rPr>
      </w:pPr>
    </w:p>
    <w:p w14:paraId="4D1F2E1B" w14:textId="77777777" w:rsidR="007D5E9A" w:rsidRDefault="007D5E9A">
      <w:pPr>
        <w:spacing w:line="24" w:lineRule="atLeast"/>
        <w:rPr>
          <w:rFonts w:hint="eastAsia"/>
        </w:rPr>
      </w:pPr>
    </w:p>
    <w:p w14:paraId="4038A1A4" w14:textId="77777777" w:rsidR="007D5E9A" w:rsidRDefault="007D5E9A">
      <w:pPr>
        <w:spacing w:line="24" w:lineRule="atLeast"/>
        <w:rPr>
          <w:rFonts w:hint="eastAsia"/>
        </w:rPr>
      </w:pPr>
    </w:p>
    <w:p w14:paraId="579DF6A1" w14:textId="77777777" w:rsidR="007D5E9A" w:rsidRDefault="007D5E9A">
      <w:pPr>
        <w:spacing w:line="24" w:lineRule="atLeast"/>
        <w:rPr>
          <w:rFonts w:hint="eastAsia"/>
        </w:rPr>
      </w:pPr>
    </w:p>
    <w:p w14:paraId="620B6776" w14:textId="77777777" w:rsidR="007D5E9A" w:rsidRDefault="007D5E9A">
      <w:pPr>
        <w:spacing w:line="24" w:lineRule="atLeast"/>
        <w:rPr>
          <w:rFonts w:hint="eastAsia"/>
        </w:rPr>
      </w:pPr>
    </w:p>
    <w:p w14:paraId="6A8D0610" w14:textId="77777777" w:rsidR="007D5E9A" w:rsidRDefault="007D5E9A">
      <w:pPr>
        <w:spacing w:line="24" w:lineRule="atLeast"/>
        <w:rPr>
          <w:rFonts w:hint="eastAsia"/>
        </w:rPr>
      </w:pPr>
    </w:p>
    <w:p w14:paraId="3F2E78BE" w14:textId="77777777" w:rsidR="007D5E9A" w:rsidRDefault="007D5E9A">
      <w:pPr>
        <w:spacing w:line="24" w:lineRule="atLeast"/>
        <w:rPr>
          <w:rFonts w:hint="eastAsia"/>
        </w:rPr>
      </w:pPr>
    </w:p>
    <w:p w14:paraId="74DADE32" w14:textId="77777777" w:rsidR="007D5E9A" w:rsidRDefault="007D5E9A">
      <w:pPr>
        <w:spacing w:line="24" w:lineRule="atLeast"/>
        <w:rPr>
          <w:rFonts w:hint="eastAsia"/>
        </w:rPr>
      </w:pPr>
    </w:p>
    <w:p w14:paraId="0B8B27D1" w14:textId="77777777" w:rsidR="007D5E9A" w:rsidRDefault="007D5E9A">
      <w:pPr>
        <w:spacing w:line="24" w:lineRule="atLeast"/>
        <w:rPr>
          <w:rFonts w:hint="eastAsia"/>
        </w:rPr>
      </w:pPr>
    </w:p>
    <w:p w14:paraId="748335F1" w14:textId="77777777" w:rsidR="007D5E9A" w:rsidRDefault="007D5E9A">
      <w:pPr>
        <w:spacing w:line="24" w:lineRule="atLeast"/>
        <w:rPr>
          <w:rFonts w:hint="eastAsia"/>
        </w:rPr>
      </w:pPr>
    </w:p>
    <w:p w14:paraId="68B96784" w14:textId="77777777" w:rsidR="007D5E9A" w:rsidRDefault="007D5E9A">
      <w:pPr>
        <w:spacing w:line="24" w:lineRule="atLeast"/>
        <w:rPr>
          <w:rFonts w:hint="eastAsia"/>
        </w:rPr>
      </w:pPr>
    </w:p>
    <w:p w14:paraId="2BC534A8" w14:textId="77777777" w:rsidR="007D5E9A" w:rsidRDefault="007D5E9A">
      <w:pPr>
        <w:spacing w:line="24" w:lineRule="atLeast"/>
        <w:rPr>
          <w:rFonts w:hint="eastAsia"/>
        </w:rPr>
      </w:pPr>
    </w:p>
    <w:p w14:paraId="4781D49E" w14:textId="77777777" w:rsidR="007D5E9A" w:rsidRDefault="007D5E9A">
      <w:pPr>
        <w:spacing w:line="24" w:lineRule="atLeast"/>
        <w:rPr>
          <w:rFonts w:hint="eastAsia"/>
        </w:rPr>
      </w:pPr>
    </w:p>
    <w:p w14:paraId="5AC68518" w14:textId="77777777" w:rsidR="007D5E9A" w:rsidRDefault="00000000">
      <w:pPr>
        <w:widowControl/>
        <w:spacing w:before="120" w:after="240" w:line="24" w:lineRule="atLeast"/>
        <w:jc w:val="left"/>
        <w:rPr>
          <w:rFonts w:ascii="Times New Roman" w:eastAsia="宋体" w:hAnsi="Times New Roman" w:cs="Times New Roman"/>
          <w:kern w:val="0"/>
          <w:sz w:val="24"/>
        </w:rPr>
      </w:pPr>
      <w:r>
        <w:rPr>
          <w:rFonts w:ascii="Times New Roman" w:eastAsia="宋体" w:hAnsi="Times New Roman" w:cs="Times New Roman"/>
          <w:b/>
          <w:bCs/>
          <w:kern w:val="0"/>
          <w:sz w:val="24"/>
        </w:rPr>
        <w:t>Supplementary Fig</w:t>
      </w:r>
      <w:r>
        <w:rPr>
          <w:rFonts w:ascii="Times New Roman" w:eastAsia="宋体" w:hAnsi="Times New Roman" w:cs="Times New Roman" w:hint="eastAsia"/>
          <w:b/>
          <w:bCs/>
          <w:kern w:val="0"/>
          <w:sz w:val="24"/>
        </w:rPr>
        <w:t xml:space="preserve"> 1</w:t>
      </w:r>
      <w:r>
        <w:rPr>
          <w:rFonts w:ascii="Times New Roman" w:eastAsia="宋体" w:hAnsi="Times New Roman" w:cs="Times New Roman"/>
          <w:b/>
          <w:bCs/>
          <w:kern w:val="0"/>
          <w:sz w:val="24"/>
        </w:rPr>
        <w:t xml:space="preserve">. </w:t>
      </w:r>
      <w:r>
        <w:rPr>
          <w:rFonts w:ascii="Times New Roman" w:eastAsia="宋体" w:hAnsi="Times New Roman" w:cs="Times New Roman"/>
          <w:kern w:val="0"/>
          <w:sz w:val="24"/>
        </w:rPr>
        <w:t>Flow chart of the study design.</w:t>
      </w:r>
    </w:p>
    <w:p w14:paraId="0CECBF71" w14:textId="77777777" w:rsidR="007D5E9A" w:rsidRDefault="00000000">
      <w:pPr>
        <w:widowControl/>
        <w:spacing w:before="120" w:after="240" w:line="24" w:lineRule="atLeast"/>
        <w:jc w:val="center"/>
        <w:rPr>
          <w:rFonts w:ascii="Times New Roman" w:eastAsia="宋体" w:hAnsi="Times New Roman" w:cs="Times New Roman"/>
          <w:kern w:val="0"/>
          <w:sz w:val="24"/>
        </w:rPr>
      </w:pPr>
      <w:r>
        <w:rPr>
          <w:rFonts w:ascii="Times New Roman" w:eastAsia="宋体" w:hAnsi="Times New Roman" w:cs="Times New Roman" w:hint="eastAsia"/>
          <w:noProof/>
          <w:kern w:val="0"/>
          <w:sz w:val="24"/>
        </w:rPr>
        <w:drawing>
          <wp:inline distT="0" distB="0" distL="114300" distR="114300" wp14:anchorId="61819876" wp14:editId="43C2C594">
            <wp:extent cx="3672840" cy="4560570"/>
            <wp:effectExtent l="0" t="0" r="10160" b="11430"/>
            <wp:docPr id="1" name="图片 1" descr="Figure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igure S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72840" cy="456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8FDBB" w14:textId="77777777" w:rsidR="007D5E9A" w:rsidRDefault="00000000">
      <w:pPr>
        <w:spacing w:line="24" w:lineRule="atLeas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Abbreviations: NHANES</w:t>
      </w:r>
      <w:r>
        <w:rPr>
          <w:rFonts w:ascii="Times New Roman" w:eastAsia="宋体" w:hAnsi="Times New Roman" w:cs="Times New Roman" w:hint="eastAsia"/>
          <w:szCs w:val="21"/>
        </w:rPr>
        <w:t xml:space="preserve">, </w:t>
      </w:r>
      <w:r>
        <w:rPr>
          <w:rFonts w:ascii="Times New Roman" w:eastAsia="宋体" w:hAnsi="Times New Roman" w:cs="Times New Roman"/>
          <w:szCs w:val="21"/>
        </w:rPr>
        <w:t>National Health and Nutrition Examination Survey</w:t>
      </w:r>
      <w:r>
        <w:rPr>
          <w:rFonts w:ascii="Times New Roman" w:eastAsia="宋体" w:hAnsi="Times New Roman" w:cs="Times New Roman" w:hint="eastAsia"/>
          <w:szCs w:val="21"/>
        </w:rPr>
        <w:t xml:space="preserve">; </w:t>
      </w:r>
      <w:r>
        <w:rPr>
          <w:rFonts w:ascii="Times New Roman" w:eastAsia="宋体" w:hAnsi="Times New Roman" w:cs="Times New Roman"/>
          <w:kern w:val="0"/>
          <w:sz w:val="20"/>
          <w:szCs w:val="20"/>
          <w:shd w:val="clear" w:color="auto" w:fill="FFFFFF"/>
        </w:rPr>
        <w:t>CDAI, composite dietary antioxidant index</w:t>
      </w:r>
    </w:p>
    <w:p w14:paraId="49AAEB2A" w14:textId="77777777" w:rsidR="007D5E9A" w:rsidRDefault="007D5E9A">
      <w:pPr>
        <w:widowControl/>
        <w:spacing w:before="120" w:after="240" w:line="24" w:lineRule="atLeast"/>
        <w:jc w:val="left"/>
        <w:rPr>
          <w:rFonts w:ascii="Times New Roman" w:eastAsia="宋体" w:hAnsi="Times New Roman" w:cs="Times New Roman"/>
          <w:kern w:val="0"/>
          <w:sz w:val="24"/>
        </w:rPr>
      </w:pPr>
    </w:p>
    <w:p w14:paraId="3D0C8A64" w14:textId="77777777" w:rsidR="007D5E9A" w:rsidRDefault="007D5E9A">
      <w:pPr>
        <w:widowControl/>
        <w:spacing w:before="120" w:after="240" w:line="24" w:lineRule="atLeast"/>
        <w:jc w:val="left"/>
        <w:rPr>
          <w:rFonts w:ascii="Times New Roman" w:eastAsia="宋体" w:hAnsi="Times New Roman" w:cs="Times New Roman"/>
          <w:kern w:val="0"/>
          <w:sz w:val="24"/>
        </w:rPr>
      </w:pPr>
    </w:p>
    <w:p w14:paraId="2525F9E4" w14:textId="77777777" w:rsidR="007D5E9A" w:rsidRDefault="007D5E9A">
      <w:pPr>
        <w:widowControl/>
        <w:spacing w:before="120" w:after="240" w:line="24" w:lineRule="atLeast"/>
        <w:jc w:val="left"/>
        <w:rPr>
          <w:rFonts w:ascii="Times New Roman" w:eastAsia="宋体" w:hAnsi="Times New Roman" w:cs="Times New Roman"/>
          <w:kern w:val="0"/>
          <w:sz w:val="24"/>
        </w:rPr>
      </w:pPr>
    </w:p>
    <w:p w14:paraId="3CF07852" w14:textId="77777777" w:rsidR="007D5E9A" w:rsidRDefault="007D5E9A">
      <w:pPr>
        <w:widowControl/>
        <w:spacing w:before="120" w:after="240" w:line="24" w:lineRule="atLeast"/>
        <w:jc w:val="left"/>
        <w:rPr>
          <w:rFonts w:ascii="Times New Roman" w:eastAsia="宋体" w:hAnsi="Times New Roman" w:cs="Times New Roman"/>
          <w:kern w:val="0"/>
          <w:sz w:val="24"/>
        </w:rPr>
      </w:pPr>
    </w:p>
    <w:p w14:paraId="7044A91E" w14:textId="77777777" w:rsidR="007D5E9A" w:rsidRDefault="007D5E9A">
      <w:pPr>
        <w:widowControl/>
        <w:spacing w:before="120" w:after="240" w:line="24" w:lineRule="atLeast"/>
        <w:jc w:val="left"/>
        <w:rPr>
          <w:rFonts w:ascii="Times New Roman" w:eastAsia="宋体" w:hAnsi="Times New Roman" w:cs="Times New Roman"/>
          <w:kern w:val="0"/>
          <w:sz w:val="24"/>
        </w:rPr>
      </w:pPr>
    </w:p>
    <w:p w14:paraId="1518E11B" w14:textId="77777777" w:rsidR="007D5E9A" w:rsidRDefault="007D5E9A">
      <w:pPr>
        <w:widowControl/>
        <w:spacing w:before="120" w:after="240" w:line="24" w:lineRule="atLeast"/>
        <w:jc w:val="left"/>
        <w:rPr>
          <w:rFonts w:ascii="Times New Roman" w:eastAsia="宋体" w:hAnsi="Times New Roman" w:cs="Times New Roman"/>
          <w:kern w:val="0"/>
          <w:sz w:val="24"/>
        </w:rPr>
      </w:pPr>
    </w:p>
    <w:p w14:paraId="7680905D" w14:textId="77777777" w:rsidR="007D5E9A" w:rsidRDefault="007D5E9A">
      <w:pPr>
        <w:widowControl/>
        <w:spacing w:before="120" w:after="240" w:line="24" w:lineRule="atLeast"/>
        <w:jc w:val="left"/>
        <w:rPr>
          <w:rFonts w:ascii="Times New Roman" w:eastAsia="宋体" w:hAnsi="Times New Roman" w:cs="Times New Roman"/>
          <w:kern w:val="0"/>
          <w:sz w:val="24"/>
        </w:rPr>
      </w:pPr>
    </w:p>
    <w:p w14:paraId="3D2F2B88" w14:textId="77777777" w:rsidR="007D5E9A" w:rsidRDefault="007D5E9A">
      <w:pPr>
        <w:widowControl/>
        <w:spacing w:before="120" w:after="240" w:line="24" w:lineRule="atLeast"/>
        <w:jc w:val="left"/>
        <w:rPr>
          <w:rFonts w:ascii="Times New Roman" w:eastAsia="宋体" w:hAnsi="Times New Roman" w:cs="Times New Roman"/>
          <w:kern w:val="0"/>
          <w:sz w:val="24"/>
        </w:rPr>
      </w:pPr>
    </w:p>
    <w:p w14:paraId="55A5E209" w14:textId="77777777" w:rsidR="007D5E9A" w:rsidRDefault="007D5E9A">
      <w:pPr>
        <w:widowControl/>
        <w:spacing w:before="120" w:after="240" w:line="24" w:lineRule="atLeast"/>
        <w:jc w:val="left"/>
        <w:rPr>
          <w:rFonts w:ascii="Times New Roman" w:eastAsia="宋体" w:hAnsi="Times New Roman" w:cs="Times New Roman"/>
          <w:kern w:val="0"/>
          <w:sz w:val="24"/>
        </w:rPr>
      </w:pPr>
    </w:p>
    <w:p w14:paraId="57DD671C" w14:textId="77777777" w:rsidR="007D5E9A" w:rsidRDefault="00000000">
      <w:pPr>
        <w:spacing w:line="24" w:lineRule="atLeast"/>
        <w:rPr>
          <w:rFonts w:ascii="Times New Roman" w:eastAsia="宋体" w:hAnsi="Times New Roman" w:cs="Times New Roman"/>
          <w:b/>
          <w:bCs/>
          <w:kern w:val="0"/>
          <w:sz w:val="24"/>
        </w:rPr>
      </w:pPr>
      <w:r>
        <w:rPr>
          <w:rFonts w:ascii="Times New Roman" w:eastAsia="宋体" w:hAnsi="Times New Roman" w:cs="Times New Roman"/>
          <w:b/>
          <w:bCs/>
          <w:kern w:val="0"/>
          <w:sz w:val="24"/>
        </w:rPr>
        <w:t>Supplementary Fig</w:t>
      </w:r>
      <w:r>
        <w:rPr>
          <w:rFonts w:ascii="Times New Roman" w:eastAsia="宋体" w:hAnsi="Times New Roman" w:cs="Times New Roman" w:hint="eastAsia"/>
          <w:b/>
          <w:bCs/>
          <w:kern w:val="0"/>
          <w:sz w:val="24"/>
        </w:rPr>
        <w:t xml:space="preserve"> </w:t>
      </w:r>
      <w:r>
        <w:rPr>
          <w:rFonts w:ascii="Times New Roman" w:eastAsia="宋体" w:hAnsi="Times New Roman" w:cs="Times New Roman"/>
          <w:b/>
          <w:bCs/>
          <w:kern w:val="0"/>
          <w:sz w:val="24"/>
        </w:rPr>
        <w:t xml:space="preserve">2. </w:t>
      </w:r>
      <w:r>
        <w:rPr>
          <w:rFonts w:ascii="Times New Roman" w:eastAsia="宋体" w:hAnsi="Times New Roman" w:cs="Times New Roman"/>
          <w:kern w:val="0"/>
          <w:sz w:val="24"/>
        </w:rPr>
        <w:t>R</w:t>
      </w:r>
      <w:r>
        <w:rPr>
          <w:rFonts w:ascii="Times New Roman" w:eastAsia="宋体" w:hAnsi="Times New Roman" w:cs="Times New Roman"/>
          <w:kern w:val="0"/>
          <w:sz w:val="24"/>
          <w:lang w:eastAsia="en-US"/>
        </w:rPr>
        <w:t>estricted cubic spline</w:t>
      </w:r>
      <w:r>
        <w:rPr>
          <w:rFonts w:ascii="Times New Roman" w:eastAsia="宋体" w:hAnsi="Times New Roman" w:cs="Times New Roman"/>
          <w:kern w:val="0"/>
          <w:sz w:val="24"/>
        </w:rPr>
        <w:t xml:space="preserve"> analysis with multivariate-adjusted association between individual antioxidants and sarcopenia.</w:t>
      </w:r>
    </w:p>
    <w:p w14:paraId="63C96FF7" w14:textId="77777777" w:rsidR="007D5E9A" w:rsidRDefault="00000000">
      <w:pPr>
        <w:spacing w:line="24" w:lineRule="atLeast"/>
        <w:rPr>
          <w:rFonts w:hint="eastAsia"/>
        </w:rPr>
      </w:pPr>
      <w:r>
        <w:rPr>
          <w:rFonts w:hint="eastAsia"/>
          <w:noProof/>
        </w:rPr>
        <w:drawing>
          <wp:inline distT="0" distB="0" distL="114300" distR="114300" wp14:anchorId="22228906" wp14:editId="21EF5EE2">
            <wp:extent cx="6348095" cy="4462780"/>
            <wp:effectExtent l="0" t="0" r="1905" b="7620"/>
            <wp:docPr id="2" name="图片 2" descr="Figure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igure S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48095" cy="446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94BEB" w14:textId="77777777" w:rsidR="007D5E9A" w:rsidRDefault="00000000">
      <w:pPr>
        <w:widowControl/>
        <w:numPr>
          <w:ilvl w:val="0"/>
          <w:numId w:val="1"/>
        </w:numPr>
        <w:spacing w:before="120" w:line="24" w:lineRule="atLeast"/>
        <w:jc w:val="left"/>
        <w:rPr>
          <w:rFonts w:ascii="Times New Roman" w:eastAsia="宋体" w:hAnsi="Times New Roman" w:cs="Times New Roman"/>
          <w:bCs/>
          <w:kern w:val="0"/>
          <w:sz w:val="18"/>
          <w:szCs w:val="18"/>
          <w:lang w:eastAsia="en-US"/>
        </w:rPr>
      </w:pPr>
      <w:r>
        <w:rPr>
          <w:rFonts w:ascii="Times New Roman" w:eastAsia="宋体" w:hAnsi="Times New Roman" w:cs="Times New Roman"/>
          <w:bCs/>
          <w:kern w:val="0"/>
          <w:sz w:val="18"/>
          <w:szCs w:val="18"/>
          <w:lang w:eastAsia="en-US"/>
        </w:rPr>
        <w:t>RCS analysis between</w:t>
      </w:r>
      <w:r>
        <w:rPr>
          <w:rFonts w:ascii="Times New Roman" w:eastAsia="宋体" w:hAnsi="Times New Roman" w:cs="Times New Roman" w:hint="eastAsia"/>
          <w:bCs/>
          <w:kern w:val="0"/>
          <w:sz w:val="18"/>
          <w:szCs w:val="18"/>
        </w:rPr>
        <w:t xml:space="preserve"> vitamin A</w:t>
      </w:r>
      <w:r>
        <w:rPr>
          <w:rFonts w:ascii="Times New Roman" w:eastAsia="宋体" w:hAnsi="Times New Roman" w:cs="Times New Roman"/>
          <w:bCs/>
          <w:kern w:val="0"/>
          <w:sz w:val="18"/>
          <w:szCs w:val="18"/>
          <w:lang w:eastAsia="en-US"/>
        </w:rPr>
        <w:t xml:space="preserve"> and sarcopenia risk. (</w:t>
      </w:r>
      <w:r>
        <w:rPr>
          <w:rFonts w:ascii="Times New Roman" w:eastAsia="宋体" w:hAnsi="Times New Roman" w:cs="Times New Roman" w:hint="eastAsia"/>
          <w:bCs/>
          <w:kern w:val="0"/>
          <w:sz w:val="18"/>
          <w:szCs w:val="18"/>
        </w:rPr>
        <w:t>B</w:t>
      </w:r>
      <w:r>
        <w:rPr>
          <w:rFonts w:ascii="Times New Roman" w:eastAsia="宋体" w:hAnsi="Times New Roman" w:cs="Times New Roman"/>
          <w:bCs/>
          <w:kern w:val="0"/>
          <w:sz w:val="18"/>
          <w:szCs w:val="18"/>
          <w:lang w:eastAsia="en-US"/>
        </w:rPr>
        <w:t>) RCS analysis between</w:t>
      </w:r>
      <w:r>
        <w:rPr>
          <w:rFonts w:ascii="Times New Roman" w:eastAsia="宋体" w:hAnsi="Times New Roman" w:cs="Times New Roman" w:hint="eastAsia"/>
          <w:bCs/>
          <w:kern w:val="0"/>
          <w:sz w:val="18"/>
          <w:szCs w:val="18"/>
        </w:rPr>
        <w:t xml:space="preserve"> vitamin E</w:t>
      </w:r>
      <w:r>
        <w:rPr>
          <w:rFonts w:ascii="Times New Roman" w:eastAsia="宋体" w:hAnsi="Times New Roman" w:cs="Times New Roman"/>
          <w:bCs/>
          <w:kern w:val="0"/>
          <w:sz w:val="18"/>
          <w:szCs w:val="18"/>
          <w:lang w:eastAsia="en-US"/>
        </w:rPr>
        <w:t xml:space="preserve"> and sarcopenia risk. (</w:t>
      </w:r>
      <w:r>
        <w:rPr>
          <w:rFonts w:ascii="Times New Roman" w:eastAsia="宋体" w:hAnsi="Times New Roman" w:cs="Times New Roman" w:hint="eastAsia"/>
          <w:bCs/>
          <w:kern w:val="0"/>
          <w:sz w:val="18"/>
          <w:szCs w:val="18"/>
        </w:rPr>
        <w:t>C</w:t>
      </w:r>
      <w:r>
        <w:rPr>
          <w:rFonts w:ascii="Times New Roman" w:eastAsia="宋体" w:hAnsi="Times New Roman" w:cs="Times New Roman"/>
          <w:bCs/>
          <w:kern w:val="0"/>
          <w:sz w:val="18"/>
          <w:szCs w:val="18"/>
          <w:lang w:eastAsia="en-US"/>
        </w:rPr>
        <w:t>) RCS analysis between</w:t>
      </w:r>
      <w:r>
        <w:rPr>
          <w:rFonts w:ascii="Times New Roman" w:eastAsia="宋体" w:hAnsi="Times New Roman" w:cs="Times New Roman" w:hint="eastAsia"/>
          <w:bCs/>
          <w:kern w:val="0"/>
          <w:sz w:val="18"/>
          <w:szCs w:val="18"/>
        </w:rPr>
        <w:t xml:space="preserve"> vitamin C</w:t>
      </w:r>
      <w:r>
        <w:rPr>
          <w:rFonts w:ascii="Times New Roman" w:eastAsia="宋体" w:hAnsi="Times New Roman" w:cs="Times New Roman"/>
          <w:bCs/>
          <w:kern w:val="0"/>
          <w:sz w:val="18"/>
          <w:szCs w:val="18"/>
          <w:lang w:eastAsia="en-US"/>
        </w:rPr>
        <w:t xml:space="preserve"> and sarcopenia risk. (</w:t>
      </w:r>
      <w:r>
        <w:rPr>
          <w:rFonts w:ascii="Times New Roman" w:eastAsia="宋体" w:hAnsi="Times New Roman" w:cs="Times New Roman" w:hint="eastAsia"/>
          <w:bCs/>
          <w:kern w:val="0"/>
          <w:sz w:val="18"/>
          <w:szCs w:val="18"/>
        </w:rPr>
        <w:t>D</w:t>
      </w:r>
      <w:r>
        <w:rPr>
          <w:rFonts w:ascii="Times New Roman" w:eastAsia="宋体" w:hAnsi="Times New Roman" w:cs="Times New Roman"/>
          <w:bCs/>
          <w:kern w:val="0"/>
          <w:sz w:val="18"/>
          <w:szCs w:val="18"/>
          <w:lang w:eastAsia="en-US"/>
        </w:rPr>
        <w:t>) RCS analysis between</w:t>
      </w:r>
      <w:r>
        <w:rPr>
          <w:rFonts w:ascii="Times New Roman" w:eastAsia="宋体" w:hAnsi="Times New Roman" w:cs="Times New Roman" w:hint="eastAsia"/>
          <w:bCs/>
          <w:kern w:val="0"/>
          <w:sz w:val="18"/>
          <w:szCs w:val="18"/>
        </w:rPr>
        <w:t xml:space="preserve"> zinc</w:t>
      </w:r>
      <w:r>
        <w:rPr>
          <w:rFonts w:ascii="Times New Roman" w:eastAsia="宋体" w:hAnsi="Times New Roman" w:cs="Times New Roman"/>
          <w:bCs/>
          <w:kern w:val="0"/>
          <w:sz w:val="18"/>
          <w:szCs w:val="18"/>
          <w:lang w:eastAsia="en-US"/>
        </w:rPr>
        <w:t xml:space="preserve"> and sarcopenia risk. (</w:t>
      </w:r>
      <w:r>
        <w:rPr>
          <w:rFonts w:ascii="Times New Roman" w:eastAsia="宋体" w:hAnsi="Times New Roman" w:cs="Times New Roman" w:hint="eastAsia"/>
          <w:bCs/>
          <w:kern w:val="0"/>
          <w:sz w:val="18"/>
          <w:szCs w:val="18"/>
        </w:rPr>
        <w:t>E</w:t>
      </w:r>
      <w:r>
        <w:rPr>
          <w:rFonts w:ascii="Times New Roman" w:eastAsia="宋体" w:hAnsi="Times New Roman" w:cs="Times New Roman"/>
          <w:bCs/>
          <w:kern w:val="0"/>
          <w:sz w:val="18"/>
          <w:szCs w:val="18"/>
          <w:lang w:eastAsia="en-US"/>
        </w:rPr>
        <w:t>) RCS analysis between</w:t>
      </w:r>
      <w:r>
        <w:rPr>
          <w:rFonts w:ascii="Times New Roman" w:eastAsia="宋体" w:hAnsi="Times New Roman" w:cs="Times New Roman" w:hint="eastAsia"/>
          <w:bCs/>
          <w:kern w:val="0"/>
          <w:sz w:val="18"/>
          <w:szCs w:val="18"/>
        </w:rPr>
        <w:t xml:space="preserve"> selenium </w:t>
      </w:r>
      <w:r>
        <w:rPr>
          <w:rFonts w:ascii="Times New Roman" w:eastAsia="宋体" w:hAnsi="Times New Roman" w:cs="Times New Roman"/>
          <w:bCs/>
          <w:kern w:val="0"/>
          <w:sz w:val="18"/>
          <w:szCs w:val="18"/>
          <w:lang w:eastAsia="en-US"/>
        </w:rPr>
        <w:t>and sarcopenia risk. (</w:t>
      </w:r>
      <w:r>
        <w:rPr>
          <w:rFonts w:ascii="Times New Roman" w:eastAsia="宋体" w:hAnsi="Times New Roman" w:cs="Times New Roman" w:hint="eastAsia"/>
          <w:bCs/>
          <w:kern w:val="0"/>
          <w:sz w:val="18"/>
          <w:szCs w:val="18"/>
        </w:rPr>
        <w:t>F</w:t>
      </w:r>
      <w:r>
        <w:rPr>
          <w:rFonts w:ascii="Times New Roman" w:eastAsia="宋体" w:hAnsi="Times New Roman" w:cs="Times New Roman"/>
          <w:bCs/>
          <w:kern w:val="0"/>
          <w:sz w:val="18"/>
          <w:szCs w:val="18"/>
          <w:lang w:eastAsia="en-US"/>
        </w:rPr>
        <w:t>) RCS analysis between</w:t>
      </w:r>
      <w:r>
        <w:rPr>
          <w:rFonts w:ascii="Times New Roman" w:eastAsia="宋体" w:hAnsi="Times New Roman" w:cs="Times New Roman" w:hint="eastAsia"/>
          <w:bCs/>
          <w:kern w:val="0"/>
          <w:sz w:val="18"/>
          <w:szCs w:val="18"/>
        </w:rPr>
        <w:t xml:space="preserve"> carotenoid </w:t>
      </w:r>
      <w:r>
        <w:rPr>
          <w:rFonts w:ascii="Times New Roman" w:eastAsia="宋体" w:hAnsi="Times New Roman" w:cs="Times New Roman"/>
          <w:bCs/>
          <w:kern w:val="0"/>
          <w:sz w:val="18"/>
          <w:szCs w:val="18"/>
          <w:lang w:eastAsia="en-US"/>
        </w:rPr>
        <w:t xml:space="preserve">and sarcopenia risk. </w:t>
      </w:r>
    </w:p>
    <w:p w14:paraId="48425382" w14:textId="77777777" w:rsidR="007D5E9A" w:rsidRDefault="00000000">
      <w:pPr>
        <w:widowControl/>
        <w:spacing w:before="120" w:line="24" w:lineRule="atLeast"/>
        <w:jc w:val="left"/>
        <w:rPr>
          <w:rFonts w:ascii="Times New Roman" w:eastAsia="宋体" w:hAnsi="Times New Roman" w:cs="Times New Roman"/>
          <w:bCs/>
          <w:kern w:val="0"/>
          <w:sz w:val="18"/>
          <w:szCs w:val="18"/>
        </w:rPr>
      </w:pPr>
      <w:r>
        <w:rPr>
          <w:rFonts w:ascii="Times New Roman" w:eastAsia="宋体" w:hAnsi="Times New Roman" w:cs="Times New Roman"/>
          <w:kern w:val="0"/>
          <w:sz w:val="18"/>
          <w:szCs w:val="18"/>
          <w:shd w:val="clear" w:color="auto" w:fill="FFFFFF"/>
        </w:rPr>
        <w:t>Abbreviations:</w:t>
      </w:r>
      <w:r>
        <w:rPr>
          <w:rFonts w:ascii="Times New Roman" w:eastAsia="宋体" w:hAnsi="Times New Roman" w:cs="Times New Roman" w:hint="eastAsia"/>
          <w:kern w:val="0"/>
          <w:sz w:val="18"/>
          <w:szCs w:val="18"/>
          <w:shd w:val="clear" w:color="auto" w:fill="FFFFFF"/>
        </w:rPr>
        <w:t xml:space="preserve"> </w:t>
      </w:r>
      <w:r>
        <w:rPr>
          <w:rFonts w:ascii="Times New Roman" w:eastAsia="宋体" w:hAnsi="Times New Roman" w:cs="Times New Roman"/>
          <w:bCs/>
          <w:kern w:val="0"/>
          <w:sz w:val="18"/>
          <w:szCs w:val="18"/>
          <w:lang w:eastAsia="en-US"/>
        </w:rPr>
        <w:t>RCS</w:t>
      </w:r>
      <w:r>
        <w:rPr>
          <w:rFonts w:ascii="Times New Roman" w:eastAsia="宋体" w:hAnsi="Times New Roman" w:cs="Times New Roman" w:hint="eastAsia"/>
          <w:bCs/>
          <w:kern w:val="0"/>
          <w:sz w:val="18"/>
          <w:szCs w:val="18"/>
        </w:rPr>
        <w:t>, r</w:t>
      </w:r>
      <w:r>
        <w:rPr>
          <w:rFonts w:ascii="Times New Roman" w:eastAsia="宋体" w:hAnsi="Times New Roman" w:cs="Times New Roman"/>
          <w:bCs/>
          <w:kern w:val="0"/>
          <w:sz w:val="18"/>
          <w:szCs w:val="18"/>
          <w:lang w:eastAsia="en-US"/>
        </w:rPr>
        <w:t>estricted cubic spline</w:t>
      </w:r>
      <w:r>
        <w:rPr>
          <w:rFonts w:ascii="Times New Roman" w:eastAsia="宋体" w:hAnsi="Times New Roman" w:cs="Times New Roman" w:hint="eastAsia"/>
          <w:bCs/>
          <w:kern w:val="0"/>
          <w:sz w:val="18"/>
          <w:szCs w:val="18"/>
        </w:rPr>
        <w:t>; CDAI, composite dietary antioxidant index.</w:t>
      </w:r>
    </w:p>
    <w:p w14:paraId="338A739A" w14:textId="77777777" w:rsidR="007D5E9A" w:rsidRDefault="007D5E9A">
      <w:pPr>
        <w:spacing w:line="24" w:lineRule="atLeast"/>
        <w:rPr>
          <w:rFonts w:hint="eastAsia"/>
        </w:rPr>
      </w:pPr>
    </w:p>
    <w:sectPr w:rsidR="007D5E9A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Helvetica">
    <w:panose1 w:val="020B0604020202020204"/>
    <w:charset w:val="00"/>
    <w:family w:val="swiss"/>
    <w:pitch w:val="default"/>
    <w:sig w:usb0="00000000" w:usb1="00000000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5305AEC"/>
    <w:multiLevelType w:val="singleLevel"/>
    <w:tmpl w:val="15305AEC"/>
    <w:lvl w:ilvl="0">
      <w:start w:val="1"/>
      <w:numFmt w:val="upperLetter"/>
      <w:suff w:val="space"/>
      <w:lvlText w:val="(%1)"/>
      <w:lvlJc w:val="left"/>
    </w:lvl>
  </w:abstractNum>
  <w:num w:numId="1" w16cid:durableId="14445674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ZDA3ZDQwMmNiOWFlYzZjYTcwOWJiZGQ0YTA5ODBmZGUifQ=="/>
  </w:docVars>
  <w:rsids>
    <w:rsidRoot w:val="00134357"/>
    <w:rsid w:val="000A2DE0"/>
    <w:rsid w:val="00134357"/>
    <w:rsid w:val="00286397"/>
    <w:rsid w:val="002E69DF"/>
    <w:rsid w:val="00337131"/>
    <w:rsid w:val="004467DF"/>
    <w:rsid w:val="00556CAB"/>
    <w:rsid w:val="005E1D78"/>
    <w:rsid w:val="0070436D"/>
    <w:rsid w:val="007D5E9A"/>
    <w:rsid w:val="008F283E"/>
    <w:rsid w:val="009D2A0D"/>
    <w:rsid w:val="00DD38A9"/>
    <w:rsid w:val="00E82C52"/>
    <w:rsid w:val="05714DBE"/>
    <w:rsid w:val="0F01259B"/>
    <w:rsid w:val="171B154F"/>
    <w:rsid w:val="28090A48"/>
    <w:rsid w:val="2BAF7B59"/>
    <w:rsid w:val="2BDD6474"/>
    <w:rsid w:val="32762578"/>
    <w:rsid w:val="333E2E99"/>
    <w:rsid w:val="35671A97"/>
    <w:rsid w:val="399F78B4"/>
    <w:rsid w:val="73B320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2A457D"/>
  <w15:docId w15:val="{5A3A58D4-F8DC-4432-8197-45469DADCF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7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1318</Words>
  <Characters>8096</Characters>
  <Application>Microsoft Office Word</Application>
  <DocSecurity>0</DocSecurity>
  <Lines>736</Lines>
  <Paragraphs>553</Paragraphs>
  <ScaleCrop>false</ScaleCrop>
  <Company/>
  <LinksUpToDate>false</LinksUpToDate>
  <CharactersWithSpaces>8861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Sunnut.</dc:creator>
  <cp:lastModifiedBy>Edtior</cp:lastModifiedBy>
  <cp:revision>8</cp:revision>
  <dcterms:created xsi:type="dcterms:W3CDTF">2023-05-01T14:11:00Z</dcterms:created>
  <dcterms:modified xsi:type="dcterms:W3CDTF">2024-12-17T01:52:00Z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4d0b00abead19db605c8d01143ed821e559bb91fb6f36e445f63ce61ed6d2d3a</vt:lpwstr>
  </property>
  <property fmtid="{D5CDD505-2E9C-101B-9397-08002B2CF9AE}" pid="3" name="KSOProductBuildVer">
    <vt:lpwstr>2052-12.1.0.19302</vt:lpwstr>
  </property>
  <property fmtid="{D5CDD505-2E9C-101B-9397-08002B2CF9AE}" pid="4" name="ICV">
    <vt:lpwstr>3C119718502B4100919E2E24D4B1C8BC_13</vt:lpwstr>
  </property>
</Properties>
</file>